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6" w:name="_GoBack"/>
          <w:bookmarkEnd w:id="46"/>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_Toc15778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_Toc10136 </w:instrText>
          </w:r>
          <w:r>
            <w:rPr>
              <w:bCs/>
            </w:rPr>
            <w:fldChar w:fldCharType="separate"/>
          </w:r>
          <w:r>
            <w:rPr>
              <w:rFonts w:hint="eastAsia" w:ascii="Times New Roman" w:hAnsi="Times New Roman" w:eastAsia="楷体"/>
              <w:szCs w:val="24"/>
            </w:rPr>
            <w:t>股指：维持相对防御思维</w:t>
          </w:r>
          <w:r>
            <w:rPr>
              <w:bCs/>
            </w:rPr>
            <w:fldChar w:fldCharType="end"/>
          </w:r>
        </w:p>
        <w:p>
          <w:pPr>
            <w:pStyle w:val="59"/>
            <w:tabs>
              <w:tab w:val="right" w:leader="dot" w:pos="8306"/>
            </w:tabs>
          </w:pPr>
          <w:r>
            <w:rPr>
              <w:bCs/>
            </w:rPr>
            <w:fldChar w:fldCharType="begin"/>
          </w:r>
          <w:r>
            <w:rPr>
              <w:bCs/>
            </w:rPr>
            <w:instrText xml:space="preserve"> HYPERLINK \l _Toc10949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_Toc14396 </w:instrText>
          </w:r>
          <w:r>
            <w:rPr>
              <w:bCs/>
            </w:rPr>
            <w:fldChar w:fldCharType="separate"/>
          </w:r>
          <w:r>
            <w:rPr>
              <w:rFonts w:hint="eastAsia" w:ascii="Times New Roman" w:hAnsi="Times New Roman" w:eastAsia="楷体"/>
              <w:szCs w:val="24"/>
            </w:rPr>
            <w:t>贵金属：美元指数上涨，贵金属价格小幅反弹</w:t>
          </w:r>
          <w:r>
            <w:rPr>
              <w:bCs/>
            </w:rPr>
            <w:fldChar w:fldCharType="end"/>
          </w:r>
        </w:p>
        <w:p>
          <w:pPr>
            <w:pStyle w:val="59"/>
            <w:tabs>
              <w:tab w:val="right" w:leader="dot" w:pos="8306"/>
            </w:tabs>
          </w:pPr>
          <w:r>
            <w:rPr>
              <w:bCs/>
            </w:rPr>
            <w:fldChar w:fldCharType="begin"/>
          </w:r>
          <w:r>
            <w:rPr>
              <w:bCs/>
            </w:rPr>
            <w:instrText xml:space="preserve"> HYPERLINK \l _Toc31824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_Toc5727 </w:instrText>
          </w:r>
          <w:r>
            <w:rPr>
              <w:bCs/>
            </w:rPr>
            <w:fldChar w:fldCharType="separate"/>
          </w:r>
          <w:r>
            <w:rPr>
              <w:rFonts w:hint="eastAsia" w:ascii="楷体" w:hAnsi="楷体" w:eastAsia="楷体"/>
              <w:szCs w:val="24"/>
            </w:rPr>
            <w:t>碳酸锂：现货价格持稳，期价小幅上涨</w:t>
          </w:r>
          <w:r>
            <w:rPr>
              <w:bCs/>
            </w:rPr>
            <w:fldChar w:fldCharType="end"/>
          </w:r>
        </w:p>
        <w:p>
          <w:pPr>
            <w:pStyle w:val="74"/>
            <w:tabs>
              <w:tab w:val="right" w:leader="dot" w:pos="8306"/>
            </w:tabs>
          </w:pPr>
          <w:r>
            <w:rPr>
              <w:bCs/>
            </w:rPr>
            <w:fldChar w:fldCharType="begin"/>
          </w:r>
          <w:r>
            <w:rPr>
              <w:bCs/>
            </w:rPr>
            <w:instrText xml:space="preserve"> HYPERLINK \l _Toc21057 </w:instrText>
          </w:r>
          <w:r>
            <w:rPr>
              <w:bCs/>
            </w:rPr>
            <w:fldChar w:fldCharType="separate"/>
          </w:r>
          <w:r>
            <w:rPr>
              <w:rFonts w:hint="eastAsia" w:ascii="楷体" w:hAnsi="楷体" w:eastAsia="楷体"/>
              <w:szCs w:val="24"/>
            </w:rPr>
            <w:t>铜：短期价格高位僵持，继续关注资金动态</w:t>
          </w:r>
          <w:r>
            <w:rPr>
              <w:bCs/>
            </w:rPr>
            <w:fldChar w:fldCharType="end"/>
          </w:r>
        </w:p>
        <w:p>
          <w:pPr>
            <w:pStyle w:val="74"/>
            <w:tabs>
              <w:tab w:val="right" w:leader="dot" w:pos="8306"/>
            </w:tabs>
          </w:pPr>
          <w:r>
            <w:rPr>
              <w:bCs/>
            </w:rPr>
            <w:fldChar w:fldCharType="begin"/>
          </w:r>
          <w:r>
            <w:rPr>
              <w:bCs/>
            </w:rPr>
            <w:instrText xml:space="preserve"> HYPERLINK \l _Toc2456 </w:instrText>
          </w:r>
          <w:r>
            <w:rPr>
              <w:bCs/>
            </w:rPr>
            <w:fldChar w:fldCharType="separate"/>
          </w:r>
          <w:r>
            <w:rPr>
              <w:rFonts w:hint="eastAsia" w:ascii="楷体" w:hAnsi="楷体" w:eastAsia="楷体"/>
              <w:szCs w:val="24"/>
            </w:rPr>
            <w:t>铝：铝价回落，新区间震荡运行</w:t>
          </w:r>
          <w:r>
            <w:rPr>
              <w:bCs/>
            </w:rPr>
            <w:fldChar w:fldCharType="end"/>
          </w:r>
        </w:p>
        <w:p>
          <w:pPr>
            <w:pStyle w:val="74"/>
            <w:tabs>
              <w:tab w:val="right" w:leader="dot" w:pos="8306"/>
            </w:tabs>
          </w:pPr>
          <w:r>
            <w:rPr>
              <w:bCs/>
            </w:rPr>
            <w:fldChar w:fldCharType="begin"/>
          </w:r>
          <w:r>
            <w:rPr>
              <w:bCs/>
            </w:rPr>
            <w:instrText xml:space="preserve"> HYPERLINK \l _Toc18185 </w:instrText>
          </w:r>
          <w:r>
            <w:rPr>
              <w:bCs/>
            </w:rPr>
            <w:fldChar w:fldCharType="separate"/>
          </w:r>
          <w:r>
            <w:rPr>
              <w:rFonts w:hint="eastAsia" w:ascii="楷体" w:hAnsi="楷体" w:eastAsia="楷体"/>
              <w:szCs w:val="24"/>
            </w:rPr>
            <w:t>锌：锌价高位区间震荡，上下驱动有限</w:t>
          </w:r>
          <w:r>
            <w:rPr>
              <w:bCs/>
            </w:rPr>
            <w:fldChar w:fldCharType="end"/>
          </w:r>
        </w:p>
        <w:p>
          <w:pPr>
            <w:pStyle w:val="74"/>
            <w:tabs>
              <w:tab w:val="right" w:leader="dot" w:pos="8306"/>
            </w:tabs>
          </w:pPr>
          <w:r>
            <w:rPr>
              <w:bCs/>
            </w:rPr>
            <w:fldChar w:fldCharType="begin"/>
          </w:r>
          <w:r>
            <w:rPr>
              <w:bCs/>
            </w:rPr>
            <w:instrText xml:space="preserve"> HYPERLINK \l _Toc14087 </w:instrText>
          </w:r>
          <w:r>
            <w:rPr>
              <w:bCs/>
            </w:rPr>
            <w:fldChar w:fldCharType="separate"/>
          </w:r>
          <w:r>
            <w:rPr>
              <w:rFonts w:hint="eastAsia" w:ascii="楷体" w:hAnsi="楷体" w:eastAsia="楷体"/>
              <w:szCs w:val="24"/>
            </w:rPr>
            <w:t>镍：短期镍价承压运行</w:t>
          </w:r>
          <w:r>
            <w:rPr>
              <w:bCs/>
            </w:rPr>
            <w:fldChar w:fldCharType="end"/>
          </w:r>
        </w:p>
        <w:p>
          <w:pPr>
            <w:pStyle w:val="74"/>
            <w:tabs>
              <w:tab w:val="right" w:leader="dot" w:pos="8306"/>
            </w:tabs>
          </w:pPr>
          <w:r>
            <w:rPr>
              <w:bCs/>
            </w:rPr>
            <w:fldChar w:fldCharType="begin"/>
          </w:r>
          <w:r>
            <w:rPr>
              <w:bCs/>
            </w:rPr>
            <w:instrText xml:space="preserve"> HYPERLINK \l _Toc13833 </w:instrText>
          </w:r>
          <w:r>
            <w:rPr>
              <w:bCs/>
            </w:rPr>
            <w:fldChar w:fldCharType="separate"/>
          </w:r>
          <w:r>
            <w:rPr>
              <w:rFonts w:hint="eastAsia" w:ascii="楷体" w:hAnsi="楷体" w:eastAsia="楷体"/>
              <w:szCs w:val="24"/>
            </w:rPr>
            <w:t>不锈钢：原料涨幅明显，支撑短期价格</w:t>
          </w:r>
          <w:r>
            <w:rPr>
              <w:bCs/>
            </w:rPr>
            <w:fldChar w:fldCharType="end"/>
          </w:r>
        </w:p>
        <w:p>
          <w:pPr>
            <w:pStyle w:val="74"/>
            <w:tabs>
              <w:tab w:val="right" w:leader="dot" w:pos="8306"/>
            </w:tabs>
          </w:pPr>
          <w:r>
            <w:rPr>
              <w:bCs/>
            </w:rPr>
            <w:fldChar w:fldCharType="begin"/>
          </w:r>
          <w:r>
            <w:rPr>
              <w:bCs/>
            </w:rPr>
            <w:instrText xml:space="preserve"> HYPERLINK \l _Toc13374 </w:instrText>
          </w:r>
          <w:r>
            <w:rPr>
              <w:bCs/>
            </w:rPr>
            <w:fldChar w:fldCharType="separate"/>
          </w:r>
          <w:r>
            <w:rPr>
              <w:rFonts w:hint="eastAsia" w:ascii="楷体" w:hAnsi="楷体" w:eastAsia="楷体"/>
              <w:szCs w:val="24"/>
            </w:rPr>
            <w:t>工业硅：库存压力依旧较大，反弹高度或受限</w:t>
          </w:r>
          <w:r>
            <w:rPr>
              <w:bCs/>
            </w:rPr>
            <w:fldChar w:fldCharType="end"/>
          </w:r>
        </w:p>
        <w:p>
          <w:pPr>
            <w:pStyle w:val="59"/>
            <w:tabs>
              <w:tab w:val="right" w:leader="dot" w:pos="8306"/>
            </w:tabs>
          </w:pPr>
          <w:r>
            <w:rPr>
              <w:bCs/>
            </w:rPr>
            <w:fldChar w:fldCharType="begin"/>
          </w:r>
          <w:r>
            <w:rPr>
              <w:bCs/>
            </w:rPr>
            <w:instrText xml:space="preserve"> HYPERLINK \l _Toc20318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_Toc26228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抛储消息与泰国开割并存 天胶短期或偏弱整理</w:t>
          </w:r>
          <w:r>
            <w:rPr>
              <w:bCs/>
            </w:rPr>
            <w:fldChar w:fldCharType="end"/>
          </w:r>
        </w:p>
        <w:p>
          <w:pPr>
            <w:pStyle w:val="74"/>
            <w:tabs>
              <w:tab w:val="right" w:leader="dot" w:pos="8306"/>
            </w:tabs>
          </w:pPr>
          <w:r>
            <w:rPr>
              <w:bCs/>
            </w:rPr>
            <w:fldChar w:fldCharType="begin"/>
          </w:r>
          <w:r>
            <w:rPr>
              <w:bCs/>
            </w:rPr>
            <w:instrText xml:space="preserve"> HYPERLINK \l _Toc14406 </w:instrText>
          </w:r>
          <w:r>
            <w:rPr>
              <w:bCs/>
            </w:rPr>
            <w:fldChar w:fldCharType="separate"/>
          </w:r>
          <w:r>
            <w:rPr>
              <w:rFonts w:hint="eastAsia" w:ascii="楷体" w:hAnsi="楷体" w:eastAsia="楷体"/>
              <w:szCs w:val="24"/>
            </w:rPr>
            <w:t>聚烯烃：供需双弱 聚烯烃或震荡整理为主</w:t>
          </w:r>
          <w:r>
            <w:rPr>
              <w:bCs/>
            </w:rPr>
            <w:fldChar w:fldCharType="end"/>
          </w:r>
        </w:p>
        <w:p>
          <w:pPr>
            <w:pStyle w:val="74"/>
            <w:tabs>
              <w:tab w:val="right" w:leader="dot" w:pos="8306"/>
            </w:tabs>
          </w:pPr>
          <w:r>
            <w:rPr>
              <w:bCs/>
            </w:rPr>
            <w:fldChar w:fldCharType="begin"/>
          </w:r>
          <w:r>
            <w:rPr>
              <w:bCs/>
            </w:rPr>
            <w:instrText xml:space="preserve"> HYPERLINK \l _Toc23255 </w:instrText>
          </w:r>
          <w:r>
            <w:rPr>
              <w:bCs/>
            </w:rPr>
            <w:fldChar w:fldCharType="separate"/>
          </w:r>
          <w:r>
            <w:rPr>
              <w:rFonts w:hint="eastAsia" w:ascii="楷体" w:hAnsi="楷体" w:eastAsia="楷体"/>
              <w:szCs w:val="24"/>
            </w:rPr>
            <w:t>玻璃：期价上行带动现货上涨，节前价格偏强震荡</w:t>
          </w:r>
          <w:r>
            <w:rPr>
              <w:bCs/>
            </w:rPr>
            <w:fldChar w:fldCharType="end"/>
          </w:r>
        </w:p>
        <w:p>
          <w:pPr>
            <w:pStyle w:val="74"/>
            <w:tabs>
              <w:tab w:val="right" w:leader="dot" w:pos="8306"/>
            </w:tabs>
          </w:pPr>
          <w:r>
            <w:rPr>
              <w:bCs/>
            </w:rPr>
            <w:fldChar w:fldCharType="begin"/>
          </w:r>
          <w:r>
            <w:rPr>
              <w:bCs/>
            </w:rPr>
            <w:instrText xml:space="preserve"> HYPERLINK \l _Toc17046 </w:instrText>
          </w:r>
          <w:r>
            <w:rPr>
              <w:bCs/>
            </w:rPr>
            <w:fldChar w:fldCharType="separate"/>
          </w:r>
          <w:r>
            <w:rPr>
              <w:rFonts w:hint="eastAsia" w:ascii="楷体" w:hAnsi="楷体" w:eastAsia="楷体"/>
              <w:szCs w:val="24"/>
            </w:rPr>
            <w:t>纯碱：临近交割投机需求释放，期价高位震荡</w:t>
          </w:r>
          <w:r>
            <w:rPr>
              <w:bCs/>
            </w:rPr>
            <w:fldChar w:fldCharType="end"/>
          </w:r>
        </w:p>
        <w:p>
          <w:pPr>
            <w:pStyle w:val="59"/>
            <w:tabs>
              <w:tab w:val="right" w:leader="dot" w:pos="8306"/>
            </w:tabs>
          </w:pPr>
          <w:r>
            <w:rPr>
              <w:bCs/>
            </w:rPr>
            <w:fldChar w:fldCharType="begin"/>
          </w:r>
          <w:r>
            <w:rPr>
              <w:bCs/>
            </w:rPr>
            <w:instrText xml:space="preserve"> HYPERLINK \l _Toc19186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_Toc10566 </w:instrText>
          </w:r>
          <w:r>
            <w:rPr>
              <w:bCs/>
            </w:rPr>
            <w:fldChar w:fldCharType="separate"/>
          </w:r>
          <w:r>
            <w:rPr>
              <w:rFonts w:hint="eastAsia" w:ascii="楷体" w:hAnsi="楷体" w:eastAsia="楷体"/>
              <w:bCs/>
            </w:rPr>
            <w:t>玉米与淀粉：</w:t>
          </w:r>
          <w:r>
            <w:rPr>
              <w:rFonts w:hint="eastAsia" w:ascii="楷体" w:hAnsi="楷体" w:eastAsia="楷体"/>
            </w:rPr>
            <w:t>现货弱势继续拖累盘面期价</w:t>
          </w:r>
          <w:r>
            <w:rPr>
              <w:bCs/>
            </w:rPr>
            <w:fldChar w:fldCharType="end"/>
          </w:r>
        </w:p>
        <w:p>
          <w:pPr>
            <w:pStyle w:val="74"/>
            <w:tabs>
              <w:tab w:val="right" w:leader="dot" w:pos="8306"/>
            </w:tabs>
          </w:pPr>
          <w:r>
            <w:rPr>
              <w:bCs/>
            </w:rPr>
            <w:fldChar w:fldCharType="begin"/>
          </w:r>
          <w:r>
            <w:rPr>
              <w:bCs/>
            </w:rPr>
            <w:instrText xml:space="preserve"> HYPERLINK \l _Toc17792 </w:instrText>
          </w:r>
          <w:r>
            <w:rPr>
              <w:bCs/>
            </w:rPr>
            <w:fldChar w:fldCharType="separate"/>
          </w:r>
          <w:r>
            <w:rPr>
              <w:rFonts w:hint="eastAsia" w:ascii="楷体" w:hAnsi="楷体" w:eastAsia="楷体"/>
              <w:bCs/>
            </w:rPr>
            <w:t>畜禽养殖：生猪期价弱势反弹</w:t>
          </w:r>
          <w:r>
            <w:rPr>
              <w:bCs/>
            </w:rPr>
            <w:fldChar w:fldCharType="end"/>
          </w:r>
        </w:p>
        <w:p>
          <w:pPr>
            <w:pStyle w:val="74"/>
            <w:tabs>
              <w:tab w:val="right" w:leader="dot" w:pos="8306"/>
            </w:tabs>
          </w:pPr>
          <w:r>
            <w:rPr>
              <w:bCs/>
            </w:rPr>
            <w:fldChar w:fldCharType="begin"/>
          </w:r>
          <w:r>
            <w:rPr>
              <w:bCs/>
            </w:rPr>
            <w:instrText xml:space="preserve"> HYPERLINK \l _Toc13024 </w:instrText>
          </w:r>
          <w:r>
            <w:rPr>
              <w:bCs/>
            </w:rPr>
            <w:fldChar w:fldCharType="separate"/>
          </w:r>
          <w:r>
            <w:rPr>
              <w:rFonts w:hint="eastAsia" w:ascii="楷体" w:hAnsi="楷体" w:eastAsia="楷体"/>
              <w:bCs/>
            </w:rPr>
            <w:t>白糖：天气因素再次炒作，糖价小幅反弹</w:t>
          </w:r>
          <w:r>
            <w:rPr>
              <w:bCs/>
            </w:rPr>
            <w:fldChar w:fldCharType="end"/>
          </w:r>
        </w:p>
        <w:p>
          <w:pPr>
            <w:pStyle w:val="74"/>
            <w:tabs>
              <w:tab w:val="right" w:leader="dot" w:pos="8306"/>
            </w:tabs>
          </w:pPr>
          <w:r>
            <w:rPr>
              <w:bCs/>
            </w:rPr>
            <w:fldChar w:fldCharType="begin"/>
          </w:r>
          <w:r>
            <w:rPr>
              <w:bCs/>
            </w:rPr>
            <w:instrText xml:space="preserve"> HYPERLINK \l _Toc11655 </w:instrText>
          </w:r>
          <w:r>
            <w:rPr>
              <w:bCs/>
            </w:rPr>
            <w:fldChar w:fldCharType="separate"/>
          </w:r>
          <w:r>
            <w:rPr>
              <w:rFonts w:hint="eastAsia" w:ascii="楷体" w:hAnsi="楷体" w:eastAsia="楷体"/>
              <w:bCs/>
            </w:rPr>
            <w:t>棉花：弱势运行，无利多驱动</w:t>
          </w:r>
          <w:r>
            <w:rPr>
              <w:bCs/>
            </w:rPr>
            <w:fldChar w:fldCharType="end"/>
          </w:r>
        </w:p>
        <w:p>
          <w:pPr>
            <w:pStyle w:val="59"/>
            <w:tabs>
              <w:tab w:val="right" w:leader="dot" w:pos="8306"/>
            </w:tabs>
          </w:pPr>
          <w:r>
            <w:rPr>
              <w:bCs/>
            </w:rPr>
            <w:fldChar w:fldCharType="begin"/>
          </w:r>
          <w:r>
            <w:rPr>
              <w:bCs/>
            </w:rPr>
            <w:instrText xml:space="preserve"> HYPERLINK \l _Toc6763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_Toc3492 </w:instrText>
          </w:r>
          <w:r>
            <w:rPr>
              <w:bCs/>
            </w:rPr>
            <w:fldChar w:fldCharType="separate"/>
          </w:r>
          <w:r>
            <w:rPr>
              <w:rFonts w:hint="eastAsia" w:ascii="Times New Roman" w:hAnsi="Times New Roman" w:eastAsia="楷体"/>
              <w:szCs w:val="24"/>
            </w:rPr>
            <w:t>集运指数（欧线）：5月提价临近多头情绪未减</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15778"/>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10136"/>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维持相对防御思维</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临近业绩期尾声，绩差公司在强监管易出现业绩扎堆暴雷风险，与此同时红利和黄金资产进入了短期的“超买”区，止盈盘需求明显，市场持续缩量，上攻动能或出现整体性衰竭，建议五一假期前，维持相对防御思维。</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0949"/>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14396"/>
      <w:r>
        <w:rPr>
          <w:rFonts w:hint="eastAsia" w:ascii="Times New Roman" w:hAnsi="Times New Roman" w:eastAsia="楷体"/>
          <w:b/>
          <w:color w:val="000000" w:themeColor="text1"/>
          <w:sz w:val="24"/>
          <w:szCs w:val="24"/>
          <w14:textFill>
            <w14:solidFill>
              <w14:schemeClr w14:val="tx1"/>
            </w14:solidFill>
          </w14:textFill>
        </w:rPr>
        <w:t>贵金属：美元指数上涨，贵金属价格小幅反弹</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元指数涨0.11%至105.82，沪金涨0.29%至551.42元/克；沪银涨0.16%至7077元/千克。欧洲央行管委内格尔表示，6月降息后不一定是一系列降息，服务业通胀仍然高企，受持续强劲工资增长推动，不能预先承诺特定的利率路径。欧洲央行副行长金多斯表示，抗通胀斗争即将结束，最大的潜在威胁来自服务业通胀；如果没有意外，6月降息看起来已经达成一致。欧洲央行管委内格尔表示，如果新的预测和最新数据证实通胀增速将回到2%，欧洲央行可以考虑降息。部分前期多单在高位止盈离场后，随着降息预期的修正以及避险情绪的缓和，金价短期内留意回调风险；银价留意下方20日均线支撑。地缘政治冲突等不确定性较强，后续持续关注相关事件发展，建议谨慎观望。</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31824"/>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5727"/>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碳酸锂：现货价格持稳，期价小幅上涨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稳运行，期价小幅上涨，07合约涨1.33%至110400元/吨。上游企业维持挺价情绪，少数企业报价上调，下游企业备货接近完成、维持刚需采购。3月国内进口碳酸锂约19043吨，环比增64%，同比增9%，其中从智利进口碳酸锂约16297吨，从阿根廷进口约2494吨。3月国内磷酸铁锂出口量142吨，环比增39%，同比增46%。SMM预计4月锂辉石端碳酸锂产量环比增约16%，锂辉石价格维持稳定。个别企业检修计划结束，供应回暖，碳酸锂现货货源紧张的情况有所缓解，上下游博弈期间期价短期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21057"/>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短期价格高位僵持，继续关注资金动态</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(1)产业：据外电4月24日消息，加拿大第一量子（First Quantum）公布，2024年第一季度，铜总产量为100,605吨，较2023年第四季度减少37%，因巴拿马科布雷铜矿（Cobre Panamá）处于停产状态。除去该矿影响，铜产量季环比增3%。</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(2)库存：4月24日，SHFE仓单库存220711吨，减279吨；LME仓单库存120225吨，减375吨。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(3)精废价差：4月24日，Mysteel精废价差3088，收窄88。目前价差在合理价差1481之上。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制造业数据走弱，海外再通胀交易受到挑战，但整体宏观利多驱动暂未发生明显变动，关注周四将公布的美国第一季度GDP数据和周五公布的3月个人消费支出(PCE)物价指数。基本面，铜矿持续受到干扰，供应收缩预期仍是支撑价格的主要因素，国内冶炼厂陆续进入检修期供应减少，加之近期冶炼厂出口增多带动国内库存开始去化，但高价仍压制下游消费，现货贴水维持高位，五一节前下游存一定补库需求，综合而言，短期利空仍有限，铜价高位或僵持，继续关注资金动态。</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2456"/>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铝价回落，新区间震荡运行</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制造业数据初值回落，欧洲表示6月降息可期，近期宏观情绪变化较大。基本面上看，矿端供应依旧偏紧，氧化铝前期因安全环保原因减产的产能复产节奏难达预期，云南神火计划复产电解铝产能90万吨，给予市场较强供应增产信号，预计二季度电解铝冶炼产能会出现明显增长，实际供应端受上游量价限制影响可 视增量相对有限。需求端在旺季有明显修复，传统消费有所拖累但新兴消费支撑需求走强，国内对外出口订单量增长，海内外库存去库，铝价震荡中枢上移，参考震荡区间19500-22000，铝价回落后建议关注低多机会。</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8185"/>
      <w:r>
        <w:rPr>
          <w:rFonts w:hint="eastAsia" w:ascii="楷体" w:hAnsi="楷体" w:eastAsia="楷体"/>
          <w:b/>
          <w:color w:val="000000" w:themeColor="text1"/>
          <w:sz w:val="24"/>
          <w:szCs w:val="24"/>
          <w14:textFill>
            <w14:solidFill>
              <w14:schemeClr w14:val="tx1"/>
            </w14:solidFill>
          </w14:textFill>
        </w:rPr>
        <w:t>锌：锌价高位区间震荡，上下驱动有限</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伦锌下行幅度较大带动沪锌走弱，市场多头资金假期前获利了结，国内基本面供需两弱，供应端矿端紧缺格局保持，市场可流动货物偏紧，冶炼厂产量受上游限制提升有限，冶炼利润负反馈引发市场供应减产猜测，海外需求有提振预期，国内下游需求指向终端消费有所拖累，库存绝对位置偏高，临近假期库存去库节奏缓慢，下游备货情绪积性不高。整体上看，锌价保持高位震荡，参考震荡区间22000-23000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4087"/>
      <w:r>
        <w:rPr>
          <w:rFonts w:hint="eastAsia" w:ascii="楷体" w:hAnsi="楷体" w:eastAsia="楷体"/>
          <w:b/>
          <w:color w:val="000000" w:themeColor="text1"/>
          <w:sz w:val="24"/>
          <w:szCs w:val="24"/>
          <w14:textFill>
            <w14:solidFill>
              <w14:schemeClr w14:val="tx1"/>
            </w14:solidFill>
          </w14:textFill>
        </w:rPr>
        <w:t>镍：短期镍价承压运行</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有色板块利好情绪仍存。原料方面，近日硫酸镍价格平稳运行，主要在于五一节前下游备货需求仍存，但MHP及硫酸镍供应已有增加，预计电积镍成本支撑存在下跌空间。需求方面，新能源汽车需求增量主要体现在经济性较好的磷酸铁锂电池，近期三元正极终端需求放增速较慢，多家三元材料企业亏损以促进出货；不锈钢厂利润空间尚可，排产维持高位。供应端，精炼镍产能持续释放，沪镍库存处于三年新高水平，反映过剩格局持续。综合而言，由于供应过剩格局及印尼镍矿扰动已被市场充分交易，短期镍价易受宏观扰动，目前有色板块情绪较强，但由于基本面偏弱，累库压力明显，镍价承压运行，持续关注宏观情绪的不确定性。</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3833"/>
      <w:r>
        <w:rPr>
          <w:rFonts w:hint="eastAsia" w:ascii="楷体" w:hAnsi="楷体" w:eastAsia="楷体"/>
          <w:b/>
          <w:color w:val="000000" w:themeColor="text1"/>
          <w:sz w:val="24"/>
          <w:szCs w:val="24"/>
          <w14:textFill>
            <w14:solidFill>
              <w14:schemeClr w14:val="tx1"/>
            </w14:solidFill>
          </w14:textFill>
        </w:rPr>
        <w:t>不锈钢：原料涨幅明显，支撑短期价格</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宏观利多情绪持续，提振有色板块。镍矿端，印尼镍矿现货仍偏紧，因此价格坚挺。镍铁端，受到镍铁收储传言及市场看涨情绪影响，高镍铁最新采购价格已上涨至990元/镍（到厂含税），对应304冷轧不锈钢成本基价为13550元/吨左右。需求方面，近期下游成交氛围整体有所好转，五一假期将至，下游或有备货动作，但考虑到房地产及基建等终端领域表现仍然低迷，预计5月节后需求动力难有起色。供应方面，由于目前产业利润尚可，不锈钢厂维持高位排产，其供需矛盾或将愈发凸显。库存方面，据Mysteel统计，上周不锈钢社会库存略有去库，但仍高于去年同期水平，仓单库存仍处于历史新高附近。综合而言，由于宏观情绪偏多，原料价格上涨，五一前后下游或有补库需求释放，短期价格存在支撑，但需警惕五一过后供需压力带来的回调风险。</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3374"/>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库存压力依旧较大，反弹高度或受限</w:t>
      </w:r>
      <w:bookmarkEnd w:id="27"/>
    </w:p>
    <w:p>
      <w:pPr>
        <w:ind w:left="630" w:leftChars="300"/>
        <w:rPr>
          <w:rFonts w:ascii="楷体" w:hAnsi="楷体" w:eastAsia="楷体"/>
          <w:sz w:val="24"/>
          <w:szCs w:val="24"/>
        </w:rPr>
      </w:pPr>
      <w:r>
        <w:rPr>
          <w:rFonts w:hint="eastAsia" w:ascii="楷体" w:hAnsi="楷体" w:eastAsia="楷体"/>
          <w:sz w:val="24"/>
          <w:szCs w:val="24"/>
        </w:rPr>
        <w:t>4月24日，Si2406主力合约呈冲高回落走势，收盘价11790元/吨，较上一收盘价涨跌幅+0.68%。近期，下游企业存在节前补库现象，市场成交略有好转，使得仓单有所注销，但注销幅度有所收窄，市场整体观望情绪依旧浓厚，多以刚需采购为主。在仓单库存压力依旧较大背景下，且丰水期供应恢复预期，预计盘面反弹高度有限。策略上，建议谨慎资金暂时观望，激进资金可尝试逢高做空机会。</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20318"/>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6228"/>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抛储消息与泰国开割并存 天胶短期或偏弱整理</w:t>
      </w:r>
      <w:bookmarkEnd w:id="30"/>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目前看，云南产区有传天气偏干，开割不顺。海南产区物候条件优越，已经开割。短期海内外产区原料价格仍然偏强。港口库存方面，近期由于进口量减少，因此港口库存有所去化。下游轮胎厂在天胶价格屡创新高后也没有出现投机性购入原料的情况，证实橡胶的供应十分充足。需求端来看，下游轮胎企业开工率高位维持，半钢胎在海外出口需求旺盛下，开工率创下新高，对原料补库积极性提高，提振天胶消费。全钢胎方面，因整体需求偏弱，各企业成品库存表现不一，后期不排除个别企业会出现生产降速的可能性。终端汽车方面，3-4月车企优惠政策延续。根据工信部最新公布的新车上市名录里面可以看到，多家车企的新车型与换代车型将于近期发售，亦将刺激未来汽车销售增长预期。整体看，近期海外原料价格虽止涨回调，但仍处于偏强水平，一定程度上对胶价存底部支撑。但抛储消息一出以及宋干节后泰国主产区进入开割期，短期天胶或震荡偏弱整理。</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4406"/>
      <w:r>
        <w:rPr>
          <w:rFonts w:hint="eastAsia" w:ascii="楷体" w:hAnsi="楷体" w:eastAsia="楷体"/>
          <w:b/>
          <w:color w:val="000000" w:themeColor="text1"/>
          <w:sz w:val="24"/>
          <w:szCs w:val="24"/>
          <w14:textFill>
            <w14:solidFill>
              <w14:schemeClr w14:val="tx1"/>
            </w14:solidFill>
          </w14:textFill>
        </w:rPr>
        <w:t>聚烯烃：供需双弱 聚烯烃或震荡整理为主</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仍处于石化厂检修季节，供应端减量，石化库存中性偏高，开工负荷均处于低位，装置检修损失量较高。聚烯烃整体市场需求并不是很好，订单持平偏弱，利润同比更弱，成品库存较高的情况下难以看到大规模的补库，整体处于下游旺季结束阶段，PE下游农膜开工率季节性回落，其余下游需求尚可，临近假期，下游工厂有提前备货的补库需求。PP进口窗口关闭，LL进口利润与PP出口利润盈亏平衡附近。聚烯烃供需双弱，成本端支撑波动较大，预计聚烯烃区间震荡为主。</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23255"/>
      <w:r>
        <w:rPr>
          <w:rFonts w:hint="eastAsia" w:ascii="楷体" w:hAnsi="楷体" w:eastAsia="楷体"/>
          <w:b/>
          <w:color w:val="000000" w:themeColor="text1"/>
          <w:sz w:val="24"/>
          <w:szCs w:val="24"/>
          <w14:textFill>
            <w14:solidFill>
              <w14:schemeClr w14:val="tx1"/>
            </w14:solidFill>
          </w14:textFill>
        </w:rPr>
        <w:t>玻璃：期价上行带动现货上涨，节前价格偏强震荡</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4月24日报道：今日浮法玻璃现货价格1714元/吨，较上一交易日+1元/吨。供给上，日熔量17.43万吨/天。库存上，截止到20240418，全国浮法玻璃样本企业总库存5919.6万重箱，环比-117.8万重箱，环比-1.95%。折库存天数24.4天，较上期-0.4天。现货端，华北地区产销良好，开始涨价，湖北库存压力较大，价格维稳。期价上行带动现货价格回暖，原片厂销售策略转向涨价刺激下游补库，效果有待观察。总体来看，终端需求不温不火，供给矛盾并不突出，期价目前小幅升水沙河价格20元/吨左右，后市沙河可能抬价收敛基差。短线情绪偏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17046"/>
      <w:r>
        <w:rPr>
          <w:rFonts w:hint="eastAsia" w:ascii="楷体" w:hAnsi="楷体" w:eastAsia="楷体"/>
          <w:b/>
          <w:color w:val="000000" w:themeColor="text1"/>
          <w:sz w:val="24"/>
          <w:szCs w:val="24"/>
          <w14:textFill>
            <w14:solidFill>
              <w14:schemeClr w14:val="tx1"/>
            </w14:solidFill>
          </w14:textFill>
        </w:rPr>
        <w:t>纯碱：临近交割投机需求释放，期价高位震荡</w:t>
      </w:r>
      <w:bookmarkEnd w:id="33"/>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周一纯碱现货报价普遍上涨100-150元/吨，华中重碱报价在2000-2100元/吨左右，较上周+100-150元/吨，轻碱报价较前期涨100元/吨，约在1950元/吨附近。从供给端来看，隆众资讯4月18日报道：周内纯碱产量71.37万吨，涨幅1.06%，纯碱开工率85.61%，环比增加0.90%，检修量超预。从库存上看，截止到2024年4月22日，本周国内纯碱厂家总库存87.30万吨，环比上周四减少1.79万吨，跌幅2.01%。其中，轻质库存35.87万吨，重质库存51.43万吨。需求端表现平稳，轻碱订单较好，重碱表现一般，节前适量补库，低价产销较好。盘面上，上周检修略超预期，期价大幅反弹，期价快速上涨带动现货上涨，碱厂周末封单涨价配合收敛基差，周一现货快速涨价后，下游观望情绪变强，短线情绪偏多，但价格升水，建议等待节后回调后低多09合约。</w:t>
      </w:r>
    </w:p>
    <w:p>
      <w:pPr>
        <w:ind w:left="630" w:leftChars="300"/>
        <w:rPr>
          <w:rFonts w:hint="eastAsia" w:ascii="楷体" w:hAnsi="楷体" w:eastAsia="楷体"/>
          <w:color w:val="000000" w:themeColor="text1"/>
          <w:sz w:val="24"/>
          <w:szCs w:val="24"/>
          <w14:textFill>
            <w14:solidFill>
              <w14:schemeClr w14:val="tx1"/>
            </w14:solidFill>
          </w14:textFill>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19186"/>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10566"/>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现货弱势继续拖累盘面期价</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国内玉米现货持续分化运行，东北产区相对坚挺，因国家收储支撑，加上当地深加工与饲料企业库存相对偏低，而华北与南方销区持续弱势，甚至创出新低，前者主要源于余粮与新麦上市压力，后者主要源于进口谷物库存依然充裕，现货表现分化引发市场对于后期玉米定价权与定价区间的分歧，导致期价陷入涨跌两难的境地，即下方有支撑，上涨缺乏驱动。我们基于年度产需缺口判断维持谨慎看多观点，接下来重点关注华北小麦产量前景、华北玉米销售进度及其南方港口谷物特别是内外贸玉米库存变动。我们维持谨慎看多观点，建议投资者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在前期因行业供需宽松背景下的原料成本因素带动淀粉-玉米价差持续收窄之后，近期价差整体震荡反弹，主要原因有二，其一是随着华北玉米余粮的消耗，后期华北-东北玉米价差有走扩的可能性；其二是市场担心期现货生产利润下滑之后，行业开机率有望趋于下滑，继而带来行业供需的改善。但考虑到原料端与供需端形势尚不明朗，价差方向仍存在较大的不确定性。综上所述，我们维持谨慎看多观点，建议前期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7792"/>
      <w:r>
        <w:rPr>
          <w:rFonts w:hint="eastAsia" w:ascii="楷体" w:hAnsi="楷体" w:eastAsia="楷体"/>
          <w:b/>
          <w:bCs/>
          <w:color w:val="000000" w:themeColor="text1"/>
          <w14:textFill>
            <w14:solidFill>
              <w14:schemeClr w14:val="tx1"/>
            </w14:solidFill>
          </w14:textFill>
        </w:rPr>
        <w:t>畜禽养殖：生猪期价弱势反弹</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市场基于行业产能去化即能繁母猪存栏持续下滑合理预期远期趋于改善，这体现在期价远月升水结构上，市场分歧更多在于供需改善的幅度，主要源于两个方面，其一是产能去化是否达到足以改变行业供需格局的水平，其二是生产效率的提升可能对冲产能去化对生猪实际供应下降的影响。从农业农村部公布的2023年4季度末生猪存栏来看，今年上半年生猪供应量同比下降4%左右，考虑到节后以来的压栏惜售和二次育肥带动生猪出栏体重同比上升，这意味着二季度供需改善幅度或受限。而从2024年1季度末生猪存栏继续环比下降来看，三季度供应阶段性下降或更为确定，这主要源于去年四季度非瘟疫情加上养殖户资金问题加速淘汰，仔猪价格1月以来加速上涨亦可印证。考虑到近月期价已转为贴水现货，表明其已转而反映现货回落预期，接下来需要关注现货走势，而在远月-近月价差持续走扩之后，远月期价升水或已经在一定程度上反映现货上涨预期。据此我们中期谨慎看多，短期维持中性观点，建议投资者观望为宜，前期月间价差套利可择机离场。</w:t>
      </w:r>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依然宽松，亟待行业养殖利润持续亏损，来推动养殖进行产能去化。从原料成本角度看，考虑到鸡蛋养殖利润因行业供需处于往年同期低位，饲料成本因素对鸡蛋养殖利润的影响或相对大于生猪，在这种情况下，需要特别留意饲料原料即豆粕和玉米上涨的持续性。考虑到现货已经下跌至养殖成本下方，带动养殖户淘汰积极性上升，期价亦在一定程度上反映供需宽松的预期。在这种情况下，近月合约更多关注现货与基差走势，远月合约则更多关注供需改善预期和季节性因素。我们维持中性观点，建议投资者观望为宜。</w:t>
      </w:r>
    </w:p>
    <w:p>
      <w:pPr>
        <w:pStyle w:val="93"/>
        <w:spacing w:before="0" w:beforeAutospacing="0" w:after="60" w:afterAutospacing="0"/>
        <w:ind w:left="630" w:leftChars="300"/>
        <w:rPr>
          <w:rFonts w:hint="eastAsia" w:ascii="楷体" w:hAnsi="楷体" w:eastAsia="楷体"/>
        </w:rPr>
      </w:pPr>
    </w:p>
    <w:p>
      <w:pPr>
        <w:pStyle w:val="93"/>
        <w:spacing w:before="60" w:beforeAutospacing="0" w:after="60" w:afterAutospacing="0"/>
        <w:ind w:left="420" w:leftChars="200"/>
        <w:outlineLvl w:val="1"/>
        <w:rPr>
          <w:rFonts w:ascii="楷体" w:hAnsi="楷体" w:eastAsia="楷体"/>
          <w:b/>
        </w:rPr>
      </w:pPr>
      <w:bookmarkStart w:id="37" w:name="_Toc13024"/>
      <w:r>
        <w:rPr>
          <w:rFonts w:hint="eastAsia" w:ascii="楷体" w:hAnsi="楷体" w:eastAsia="楷体"/>
          <w:b/>
          <w:bCs/>
          <w:color w:val="000000" w:themeColor="text1"/>
          <w14:textFill>
            <w14:solidFill>
              <w14:schemeClr w14:val="tx1"/>
            </w14:solidFill>
          </w14:textFill>
        </w:rPr>
        <w:t>白糖：天气因素再次炒作，糖价小幅反弹</w:t>
      </w:r>
      <w:bookmarkEnd w:id="37"/>
    </w:p>
    <w:p>
      <w:pPr>
        <w:pStyle w:val="93"/>
        <w:spacing w:before="0" w:beforeAutospacing="0" w:after="60" w:afterAutospacing="0"/>
        <w:ind w:left="630" w:leftChars="300"/>
        <w:rPr>
          <w:rFonts w:hint="eastAsia" w:ascii="楷体" w:hAnsi="楷体" w:eastAsia="楷体"/>
        </w:rPr>
      </w:pPr>
      <w:r>
        <w:rPr>
          <w:rFonts w:hint="eastAsia" w:ascii="楷体" w:hAnsi="楷体" w:eastAsia="楷体"/>
        </w:rPr>
        <w:t>昨日外盘纽约ICE原糖5月合约上涨0.5%，结算价重回20美分/磅低位线，伦敦ICE白砂糖主连上涨0.26%。此次糖价上涨主要是近期天气因素释放利多信号，由于此前数月巴西异常干旱，USDA下调预估产量至6.45亿吨；泰国干燥天气没有结束迹象，甘蔗生长受影响，两大食糖主产国预期产量下降推动糖价上涨。但部分机构认为，巴西已到压榨阶段，天气干燥反而适合甘蔗压榨和食糖运输。市场多空观点并存，预计期价震荡运行。国内市场方面，昨日夜盘主力合约上涨0.10%，主要跟随外盘变动。但现货市场需求端在买涨不买跌的心理影响下，采购积极性有所减弱，食糖成交量减少。除此之外，目前国内基本面没有太多的新信号，大体还是跟随外盘运行。总体来说市场将震荡运行，建议投资者保持观望态度。</w:t>
      </w:r>
    </w:p>
    <w:p>
      <w:pPr>
        <w:pStyle w:val="93"/>
        <w:spacing w:before="0" w:beforeAutospacing="0" w:after="60" w:afterAutospacing="0"/>
        <w:ind w:left="630" w:leftChars="300"/>
        <w:rPr>
          <w:rFonts w:hint="eastAsia" w:ascii="楷体" w:hAnsi="楷体" w:eastAsia="楷体"/>
        </w:rPr>
      </w:pPr>
    </w:p>
    <w:p>
      <w:pPr>
        <w:pStyle w:val="93"/>
        <w:spacing w:before="60" w:beforeAutospacing="0" w:after="60" w:afterAutospacing="0"/>
        <w:ind w:left="420" w:leftChars="200"/>
        <w:outlineLvl w:val="1"/>
        <w:rPr>
          <w:rFonts w:ascii="楷体" w:hAnsi="楷体" w:eastAsia="楷体"/>
          <w:b/>
        </w:rPr>
      </w:pPr>
      <w:bookmarkStart w:id="38" w:name="_Toc11655"/>
      <w:r>
        <w:rPr>
          <w:rFonts w:hint="eastAsia" w:ascii="楷体" w:hAnsi="楷体" w:eastAsia="楷体"/>
          <w:b/>
          <w:bCs/>
          <w:color w:val="000000" w:themeColor="text1"/>
          <w14:textFill>
            <w14:solidFill>
              <w14:schemeClr w14:val="tx1"/>
            </w14:solidFill>
          </w14:textFill>
        </w:rPr>
        <w:t>棉花：弱势运行，无利多驱动</w:t>
      </w:r>
      <w:bookmarkEnd w:id="38"/>
    </w:p>
    <w:p>
      <w:pPr>
        <w:pStyle w:val="93"/>
        <w:spacing w:before="0" w:beforeAutospacing="0" w:after="60" w:afterAutospacing="0"/>
        <w:ind w:left="630" w:leftChars="300"/>
        <w:rPr>
          <w:rFonts w:hint="eastAsia" w:ascii="楷体" w:hAnsi="楷体" w:eastAsia="楷体"/>
        </w:rPr>
      </w:pPr>
      <w:r>
        <w:rPr>
          <w:rFonts w:hint="eastAsia" w:ascii="楷体" w:hAnsi="楷体" w:eastAsia="楷体"/>
        </w:rPr>
        <w:t>昨日外盘2号棉主力合约下跌0.99%，截止4月23日，2号棉合约库存为176977包，比上一交易日增加192包，库存压力仍存。除了供应端宽松状况影响棉价下行，油价下跌也压制棉价。由于全球对中东冲突的担忧有所缓解，原油价格下跌，油制产品聚酯的价格也相应下跌。作为棉花的替代品，聚酯价格下行给棉价施压，棉价被迫下调。国内市场方面，昨日夜盘主力合约下跌0.13%。根据棉花展望调研报告显示，近期需求端新订单较少，纺企仍随用随买。根据棉花周期运行规律，5月即将进入淡季，部分纺企有继续降低开机率的打算，需求弱的现状难以改善，棉价没有支撑继续下行探底，投资者可考虑持有空单。</w:t>
      </w:r>
    </w:p>
    <w:p>
      <w:pPr>
        <w:pStyle w:val="93"/>
        <w:spacing w:before="0" w:beforeAutospacing="0" w:after="60" w:afterAutospacing="0"/>
        <w:ind w:left="630" w:leftChars="300"/>
        <w:rPr>
          <w:rFonts w:hint="eastAsia" w:ascii="楷体" w:hAnsi="楷体" w:eastAsia="楷体"/>
        </w:rPr>
      </w:pPr>
    </w:p>
    <w:p>
      <w:pPr>
        <w:pBdr>
          <w:top w:val="single" w:color="auto" w:sz="4" w:space="0"/>
        </w:pBdr>
        <w:outlineLvl w:val="0"/>
        <w:rPr>
          <w:rFonts w:ascii="Times New Roman" w:hAnsi="Times New Roman" w:eastAsia="楷体"/>
          <w:b/>
          <w:color w:val="823C0B"/>
        </w:rPr>
      </w:pPr>
      <w:bookmarkStart w:id="39" w:name="_Toc6763"/>
      <w:r>
        <w:rPr>
          <w:rFonts w:hint="eastAsia" w:ascii="Times New Roman" w:hAnsi="Times New Roman" w:eastAsia="楷体"/>
          <w:b/>
          <w:color w:val="823C0B"/>
          <w:sz w:val="30"/>
          <w:szCs w:val="30"/>
        </w:rPr>
        <w:t>[指数]</w:t>
      </w:r>
      <w:bookmarkEnd w:id="39"/>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0" w:name="_Toc3492"/>
      <w:r>
        <w:rPr>
          <w:rFonts w:hint="eastAsia" w:ascii="Times New Roman" w:hAnsi="Times New Roman" w:eastAsia="楷体"/>
          <w:b/>
          <w:color w:val="000000" w:themeColor="text1"/>
          <w:sz w:val="24"/>
          <w:szCs w:val="24"/>
          <w14:textFill>
            <w14:solidFill>
              <w14:schemeClr w14:val="tx1"/>
            </w14:solidFill>
          </w14:textFill>
        </w:rPr>
        <w:t>集运指数（欧线）：5月提价临近多头情绪未减</w:t>
      </w:r>
      <w:bookmarkEnd w:id="40"/>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4月22日盘后SCFIS欧线收于2134.85点，环比回落0.6%。4月19日公布SCFI数据的上海港出口至欧洲、地中海基本港市场运价（海运及海运附加费）为1971美元/TEU和3048美元/TEU，较上期分别下跌0%、1.3%。运价自3月中旬以来走势较为平稳，市场货量较为稳定，船舶平均舱位利用率保持在较高水平。</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近日已有MSC、马士基、达飞等多家航司宣布上调5月份欧线运价，提振市场情绪。未来关注点为5月份提价效果以及中东局势走向，近期交易风险较大，建议投资者交易保持观望。</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1" w:name="_Toc71212556"/>
      <w:bookmarkStart w:id="42" w:name="_Toc12779"/>
      <w:bookmarkStart w:id="43" w:name="_Toc19667"/>
      <w:bookmarkStart w:id="44" w:name="_Toc72481108"/>
      <w:bookmarkStart w:id="45" w:name="_Toc98426751"/>
      <w:r>
        <w:rPr>
          <w:rFonts w:ascii="Times New Roman" w:hAnsi="Times New Roman" w:eastAsia="楷体"/>
          <w:b/>
          <w:color w:val="411D05"/>
          <w:sz w:val="30"/>
          <w:szCs w:val="30"/>
        </w:rPr>
        <w:t>免责声明</w:t>
      </w:r>
      <w:bookmarkEnd w:id="41"/>
      <w:bookmarkEnd w:id="42"/>
      <w:bookmarkEnd w:id="43"/>
      <w:bookmarkEnd w:id="44"/>
      <w:bookmarkEnd w:id="45"/>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2024年4月25日星期四</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DB77106"/>
    <w:rsid w:val="0F662138"/>
    <w:rsid w:val="0F9B0CE9"/>
    <w:rsid w:val="0FF35275"/>
    <w:rsid w:val="100732C8"/>
    <w:rsid w:val="10DA6205"/>
    <w:rsid w:val="111441F0"/>
    <w:rsid w:val="113D3FD2"/>
    <w:rsid w:val="121F7D21"/>
    <w:rsid w:val="129B2E20"/>
    <w:rsid w:val="12AA5DF8"/>
    <w:rsid w:val="132A04C1"/>
    <w:rsid w:val="1330029C"/>
    <w:rsid w:val="134E6356"/>
    <w:rsid w:val="13AE24B4"/>
    <w:rsid w:val="15364A7C"/>
    <w:rsid w:val="15602ADB"/>
    <w:rsid w:val="15D52593"/>
    <w:rsid w:val="197E6634"/>
    <w:rsid w:val="1B8A2034"/>
    <w:rsid w:val="1BC72FF7"/>
    <w:rsid w:val="1D03226A"/>
    <w:rsid w:val="1D5030CD"/>
    <w:rsid w:val="1D876087"/>
    <w:rsid w:val="1DFF64E4"/>
    <w:rsid w:val="1ECB51CD"/>
    <w:rsid w:val="1F515CF1"/>
    <w:rsid w:val="1FDC1B35"/>
    <w:rsid w:val="1FDD0CDB"/>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3961B5"/>
    <w:rsid w:val="29A303B9"/>
    <w:rsid w:val="2B9C319C"/>
    <w:rsid w:val="2C1D776C"/>
    <w:rsid w:val="2C453820"/>
    <w:rsid w:val="2C527F9F"/>
    <w:rsid w:val="2C6C12B9"/>
    <w:rsid w:val="2CA93C52"/>
    <w:rsid w:val="2D912E3A"/>
    <w:rsid w:val="2DC02C2B"/>
    <w:rsid w:val="2DE440F7"/>
    <w:rsid w:val="2E6F25DB"/>
    <w:rsid w:val="2FA14A50"/>
    <w:rsid w:val="2FA70F17"/>
    <w:rsid w:val="30CB447B"/>
    <w:rsid w:val="32951C0D"/>
    <w:rsid w:val="33CE5AF4"/>
    <w:rsid w:val="340E7198"/>
    <w:rsid w:val="34A75784"/>
    <w:rsid w:val="3581551C"/>
    <w:rsid w:val="35D65FDD"/>
    <w:rsid w:val="36C14F46"/>
    <w:rsid w:val="373F75CC"/>
    <w:rsid w:val="38F320AA"/>
    <w:rsid w:val="39584559"/>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EE419C"/>
    <w:rsid w:val="3EFE09FD"/>
    <w:rsid w:val="3F345DBE"/>
    <w:rsid w:val="40F15753"/>
    <w:rsid w:val="41F950F8"/>
    <w:rsid w:val="42EB3BA1"/>
    <w:rsid w:val="43F11831"/>
    <w:rsid w:val="43F63E0D"/>
    <w:rsid w:val="44092E2E"/>
    <w:rsid w:val="441077D2"/>
    <w:rsid w:val="44396064"/>
    <w:rsid w:val="459609D9"/>
    <w:rsid w:val="45A37566"/>
    <w:rsid w:val="45CF0A85"/>
    <w:rsid w:val="46194A11"/>
    <w:rsid w:val="461E2AF1"/>
    <w:rsid w:val="47752ACA"/>
    <w:rsid w:val="47C813F2"/>
    <w:rsid w:val="49BF13F0"/>
    <w:rsid w:val="49D75468"/>
    <w:rsid w:val="49E169F0"/>
    <w:rsid w:val="4A4A74EF"/>
    <w:rsid w:val="4A6F6249"/>
    <w:rsid w:val="4AB74C38"/>
    <w:rsid w:val="4B14426D"/>
    <w:rsid w:val="4B6224E5"/>
    <w:rsid w:val="4B8C4A56"/>
    <w:rsid w:val="4BF97936"/>
    <w:rsid w:val="4C457E30"/>
    <w:rsid w:val="4D2A3925"/>
    <w:rsid w:val="4DB20386"/>
    <w:rsid w:val="4DF02D90"/>
    <w:rsid w:val="4E665CB5"/>
    <w:rsid w:val="4FBA2B77"/>
    <w:rsid w:val="5005695E"/>
    <w:rsid w:val="50286811"/>
    <w:rsid w:val="51266B84"/>
    <w:rsid w:val="5191036A"/>
    <w:rsid w:val="546B5509"/>
    <w:rsid w:val="548642E9"/>
    <w:rsid w:val="54C12E33"/>
    <w:rsid w:val="55633225"/>
    <w:rsid w:val="56DD4D3A"/>
    <w:rsid w:val="57555A7B"/>
    <w:rsid w:val="5770382C"/>
    <w:rsid w:val="57846909"/>
    <w:rsid w:val="57CB522F"/>
    <w:rsid w:val="57F46FBE"/>
    <w:rsid w:val="58042686"/>
    <w:rsid w:val="58246D5D"/>
    <w:rsid w:val="58EC5960"/>
    <w:rsid w:val="59151C86"/>
    <w:rsid w:val="59C52328"/>
    <w:rsid w:val="5AD37D8A"/>
    <w:rsid w:val="5AF87BF9"/>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B64FC1"/>
    <w:rsid w:val="66C861F9"/>
    <w:rsid w:val="66D04BBC"/>
    <w:rsid w:val="67655BF9"/>
    <w:rsid w:val="67C6389B"/>
    <w:rsid w:val="685D4EEE"/>
    <w:rsid w:val="68AE1587"/>
    <w:rsid w:val="68D53E8D"/>
    <w:rsid w:val="699C76C5"/>
    <w:rsid w:val="6A194855"/>
    <w:rsid w:val="6B292599"/>
    <w:rsid w:val="6D9172E5"/>
    <w:rsid w:val="6E133456"/>
    <w:rsid w:val="6ECB7DD2"/>
    <w:rsid w:val="6F1E315D"/>
    <w:rsid w:val="6F79454F"/>
    <w:rsid w:val="6FE61065"/>
    <w:rsid w:val="70675779"/>
    <w:rsid w:val="712C7DE8"/>
    <w:rsid w:val="713E0334"/>
    <w:rsid w:val="716F5E64"/>
    <w:rsid w:val="72417AFE"/>
    <w:rsid w:val="729B5F03"/>
    <w:rsid w:val="72D92B78"/>
    <w:rsid w:val="72F62A89"/>
    <w:rsid w:val="731B289D"/>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8</Pages>
  <Words>6408</Words>
  <Characters>6911</Characters>
  <Lines>80</Lines>
  <Paragraphs>22</Paragraphs>
  <TotalTime>0</TotalTime>
  <ScaleCrop>false</ScaleCrop>
  <LinksUpToDate>false</LinksUpToDate>
  <CharactersWithSpaces>6951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2024-04-25T02:14:48Z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