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45" w:name="_GoBack"/>
          <w:bookmarkEnd w:id="45"/>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_Toc13865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_Toc8408 </w:instrText>
          </w:r>
          <w:r>
            <w:rPr>
              <w:bCs/>
            </w:rPr>
            <w:fldChar w:fldCharType="separate"/>
          </w:r>
          <w:r>
            <w:rPr>
              <w:rFonts w:hint="eastAsia" w:ascii="Times New Roman" w:hAnsi="Times New Roman" w:eastAsia="楷体"/>
              <w:szCs w:val="24"/>
            </w:rPr>
            <w:t>股指：多IF空IM组合策略暂止盈，待低位再行入场</w:t>
          </w:r>
          <w:r>
            <w:rPr>
              <w:bCs/>
            </w:rPr>
            <w:fldChar w:fldCharType="end"/>
          </w:r>
        </w:p>
        <w:p>
          <w:pPr>
            <w:pStyle w:val="59"/>
            <w:tabs>
              <w:tab w:val="right" w:leader="dot" w:pos="8306"/>
            </w:tabs>
          </w:pPr>
          <w:r>
            <w:rPr>
              <w:bCs/>
            </w:rPr>
            <w:fldChar w:fldCharType="begin"/>
          </w:r>
          <w:r>
            <w:rPr>
              <w:bCs/>
            </w:rPr>
            <w:instrText xml:space="preserve"> HYPERLINK \l _Toc28305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_Toc5637 </w:instrText>
          </w:r>
          <w:r>
            <w:rPr>
              <w:bCs/>
            </w:rPr>
            <w:fldChar w:fldCharType="separate"/>
          </w:r>
          <w:r>
            <w:rPr>
              <w:rFonts w:hint="eastAsia" w:ascii="Times New Roman" w:hAnsi="Times New Roman" w:eastAsia="楷体"/>
              <w:szCs w:val="24"/>
            </w:rPr>
            <w:t>贵金属：IMF上调全球经济增长预期，沪金小幅反弹</w:t>
          </w:r>
          <w:r>
            <w:rPr>
              <w:bCs/>
            </w:rPr>
            <w:fldChar w:fldCharType="end"/>
          </w:r>
        </w:p>
        <w:p>
          <w:pPr>
            <w:pStyle w:val="59"/>
            <w:tabs>
              <w:tab w:val="right" w:leader="dot" w:pos="8306"/>
            </w:tabs>
          </w:pPr>
          <w:r>
            <w:rPr>
              <w:bCs/>
            </w:rPr>
            <w:fldChar w:fldCharType="begin"/>
          </w:r>
          <w:r>
            <w:rPr>
              <w:bCs/>
            </w:rPr>
            <w:instrText xml:space="preserve"> HYPERLINK \l _Toc32766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_Toc10887 </w:instrText>
          </w:r>
          <w:r>
            <w:rPr>
              <w:bCs/>
            </w:rPr>
            <w:fldChar w:fldCharType="separate"/>
          </w:r>
          <w:r>
            <w:rPr>
              <w:rFonts w:hint="eastAsia" w:ascii="楷体" w:hAnsi="楷体" w:eastAsia="楷体"/>
              <w:szCs w:val="24"/>
            </w:rPr>
            <w:t>碳酸锂：跟随宏观情绪运行，期价下跌</w:t>
          </w:r>
          <w:r>
            <w:rPr>
              <w:bCs/>
            </w:rPr>
            <w:fldChar w:fldCharType="end"/>
          </w:r>
        </w:p>
        <w:p>
          <w:pPr>
            <w:pStyle w:val="74"/>
            <w:tabs>
              <w:tab w:val="right" w:leader="dot" w:pos="8306"/>
            </w:tabs>
          </w:pPr>
          <w:r>
            <w:rPr>
              <w:bCs/>
            </w:rPr>
            <w:fldChar w:fldCharType="begin"/>
          </w:r>
          <w:r>
            <w:rPr>
              <w:bCs/>
            </w:rPr>
            <w:instrText xml:space="preserve"> HYPERLINK \l _Toc5437 </w:instrText>
          </w:r>
          <w:r>
            <w:rPr>
              <w:bCs/>
            </w:rPr>
            <w:fldChar w:fldCharType="separate"/>
          </w:r>
          <w:r>
            <w:rPr>
              <w:rFonts w:hint="eastAsia" w:ascii="楷体" w:hAnsi="楷体" w:eastAsia="楷体"/>
              <w:szCs w:val="24"/>
            </w:rPr>
            <w:t>铜：再通胀交易情绪未消退，铜价维持高位运行</w:t>
          </w:r>
          <w:r>
            <w:rPr>
              <w:bCs/>
            </w:rPr>
            <w:fldChar w:fldCharType="end"/>
          </w:r>
        </w:p>
        <w:p>
          <w:pPr>
            <w:pStyle w:val="74"/>
            <w:tabs>
              <w:tab w:val="right" w:leader="dot" w:pos="8306"/>
            </w:tabs>
          </w:pPr>
          <w:r>
            <w:rPr>
              <w:bCs/>
            </w:rPr>
            <w:fldChar w:fldCharType="begin"/>
          </w:r>
          <w:r>
            <w:rPr>
              <w:bCs/>
            </w:rPr>
            <w:instrText xml:space="preserve"> HYPERLINK \l _Toc27419 </w:instrText>
          </w:r>
          <w:r>
            <w:rPr>
              <w:bCs/>
            </w:rPr>
            <w:fldChar w:fldCharType="separate"/>
          </w:r>
          <w:r>
            <w:rPr>
              <w:rFonts w:hint="eastAsia" w:ascii="楷体" w:hAnsi="楷体" w:eastAsia="楷体"/>
              <w:szCs w:val="24"/>
            </w:rPr>
            <w:t>铝：铝价快速上涨后出现回调，整体趋势维持看多态度</w:t>
          </w:r>
          <w:r>
            <w:rPr>
              <w:bCs/>
            </w:rPr>
            <w:fldChar w:fldCharType="end"/>
          </w:r>
        </w:p>
        <w:p>
          <w:pPr>
            <w:pStyle w:val="74"/>
            <w:tabs>
              <w:tab w:val="right" w:leader="dot" w:pos="8306"/>
            </w:tabs>
          </w:pPr>
          <w:r>
            <w:rPr>
              <w:bCs/>
            </w:rPr>
            <w:fldChar w:fldCharType="begin"/>
          </w:r>
          <w:r>
            <w:rPr>
              <w:bCs/>
            </w:rPr>
            <w:instrText xml:space="preserve"> HYPERLINK \l _Toc26805 </w:instrText>
          </w:r>
          <w:r>
            <w:rPr>
              <w:bCs/>
            </w:rPr>
            <w:fldChar w:fldCharType="separate"/>
          </w:r>
          <w:r>
            <w:rPr>
              <w:rFonts w:hint="eastAsia" w:ascii="楷体" w:hAnsi="楷体" w:eastAsia="楷体"/>
              <w:szCs w:val="24"/>
            </w:rPr>
            <w:t>锌：锌价上行动力有限</w:t>
          </w:r>
          <w:r>
            <w:rPr>
              <w:bCs/>
            </w:rPr>
            <w:fldChar w:fldCharType="end"/>
          </w:r>
        </w:p>
        <w:p>
          <w:pPr>
            <w:pStyle w:val="74"/>
            <w:tabs>
              <w:tab w:val="right" w:leader="dot" w:pos="8306"/>
            </w:tabs>
          </w:pPr>
          <w:r>
            <w:rPr>
              <w:bCs/>
            </w:rPr>
            <w:fldChar w:fldCharType="begin"/>
          </w:r>
          <w:r>
            <w:rPr>
              <w:bCs/>
            </w:rPr>
            <w:instrText xml:space="preserve"> HYPERLINK \l _Toc28346 </w:instrText>
          </w:r>
          <w:r>
            <w:rPr>
              <w:bCs/>
            </w:rPr>
            <w:fldChar w:fldCharType="separate"/>
          </w:r>
          <w:r>
            <w:rPr>
              <w:rFonts w:hint="eastAsia" w:ascii="楷体" w:hAnsi="楷体" w:eastAsia="楷体"/>
              <w:szCs w:val="24"/>
            </w:rPr>
            <w:t>镍：俄镍制裁扰动有限，镍价承压运行</w:t>
          </w:r>
          <w:r>
            <w:rPr>
              <w:bCs/>
            </w:rPr>
            <w:fldChar w:fldCharType="end"/>
          </w:r>
        </w:p>
        <w:p>
          <w:pPr>
            <w:pStyle w:val="74"/>
            <w:tabs>
              <w:tab w:val="right" w:leader="dot" w:pos="8306"/>
            </w:tabs>
          </w:pPr>
          <w:r>
            <w:rPr>
              <w:bCs/>
            </w:rPr>
            <w:fldChar w:fldCharType="begin"/>
          </w:r>
          <w:r>
            <w:rPr>
              <w:bCs/>
            </w:rPr>
            <w:instrText xml:space="preserve"> HYPERLINK \l _Toc10977 </w:instrText>
          </w:r>
          <w:r>
            <w:rPr>
              <w:bCs/>
            </w:rPr>
            <w:fldChar w:fldCharType="separate"/>
          </w:r>
          <w:r>
            <w:rPr>
              <w:rFonts w:hint="eastAsia" w:ascii="楷体" w:hAnsi="楷体" w:eastAsia="楷体"/>
              <w:szCs w:val="24"/>
            </w:rPr>
            <w:t>不锈钢：供应压力显著，价格存在回调压力</w:t>
          </w:r>
          <w:r>
            <w:rPr>
              <w:bCs/>
            </w:rPr>
            <w:fldChar w:fldCharType="end"/>
          </w:r>
        </w:p>
        <w:p>
          <w:pPr>
            <w:pStyle w:val="74"/>
            <w:tabs>
              <w:tab w:val="right" w:leader="dot" w:pos="8306"/>
            </w:tabs>
          </w:pPr>
          <w:r>
            <w:rPr>
              <w:bCs/>
            </w:rPr>
            <w:fldChar w:fldCharType="begin"/>
          </w:r>
          <w:r>
            <w:rPr>
              <w:bCs/>
            </w:rPr>
            <w:instrText xml:space="preserve"> HYPERLINK \l _Toc27574 </w:instrText>
          </w:r>
          <w:r>
            <w:rPr>
              <w:bCs/>
            </w:rPr>
            <w:fldChar w:fldCharType="separate"/>
          </w:r>
          <w:r>
            <w:rPr>
              <w:rFonts w:hint="eastAsia" w:ascii="楷体" w:hAnsi="楷体" w:eastAsia="楷体"/>
              <w:szCs w:val="24"/>
            </w:rPr>
            <w:t>工业硅：库存压力依旧较大，盘面或将偏弱运行</w:t>
          </w:r>
          <w:r>
            <w:rPr>
              <w:bCs/>
            </w:rPr>
            <w:fldChar w:fldCharType="end"/>
          </w:r>
        </w:p>
        <w:p>
          <w:pPr>
            <w:pStyle w:val="59"/>
            <w:tabs>
              <w:tab w:val="right" w:leader="dot" w:pos="8306"/>
            </w:tabs>
          </w:pPr>
          <w:r>
            <w:rPr>
              <w:bCs/>
            </w:rPr>
            <w:fldChar w:fldCharType="begin"/>
          </w:r>
          <w:r>
            <w:rPr>
              <w:bCs/>
            </w:rPr>
            <w:instrText xml:space="preserve"> HYPERLINK \l _Toc27018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_Toc3722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抛储消息传出 天胶短期或震荡整理</w:t>
          </w:r>
          <w:r>
            <w:rPr>
              <w:bCs/>
            </w:rPr>
            <w:fldChar w:fldCharType="end"/>
          </w:r>
        </w:p>
        <w:p>
          <w:pPr>
            <w:pStyle w:val="74"/>
            <w:tabs>
              <w:tab w:val="right" w:leader="dot" w:pos="8306"/>
            </w:tabs>
          </w:pPr>
          <w:r>
            <w:rPr>
              <w:bCs/>
            </w:rPr>
            <w:fldChar w:fldCharType="begin"/>
          </w:r>
          <w:r>
            <w:rPr>
              <w:bCs/>
            </w:rPr>
            <w:instrText xml:space="preserve"> HYPERLINK \l _Toc26052 </w:instrText>
          </w:r>
          <w:r>
            <w:rPr>
              <w:bCs/>
            </w:rPr>
            <w:fldChar w:fldCharType="separate"/>
          </w:r>
          <w:r>
            <w:rPr>
              <w:rFonts w:hint="eastAsia" w:ascii="楷体" w:hAnsi="楷体" w:eastAsia="楷体"/>
              <w:szCs w:val="24"/>
            </w:rPr>
            <w:t>聚烯烃：市场多空因素共存，PE整体依旧强于PP</w:t>
          </w:r>
          <w:r>
            <w:rPr>
              <w:bCs/>
            </w:rPr>
            <w:fldChar w:fldCharType="end"/>
          </w:r>
        </w:p>
        <w:p>
          <w:pPr>
            <w:pStyle w:val="74"/>
            <w:tabs>
              <w:tab w:val="right" w:leader="dot" w:pos="8306"/>
            </w:tabs>
          </w:pPr>
          <w:r>
            <w:rPr>
              <w:bCs/>
            </w:rPr>
            <w:fldChar w:fldCharType="begin"/>
          </w:r>
          <w:r>
            <w:rPr>
              <w:bCs/>
            </w:rPr>
            <w:instrText xml:space="preserve"> HYPERLINK \l _Toc26711 </w:instrText>
          </w:r>
          <w:r>
            <w:rPr>
              <w:bCs/>
            </w:rPr>
            <w:fldChar w:fldCharType="separate"/>
          </w:r>
          <w:r>
            <w:rPr>
              <w:rFonts w:hint="eastAsia" w:ascii="楷体" w:hAnsi="楷体" w:eastAsia="楷体"/>
              <w:szCs w:val="24"/>
            </w:rPr>
            <w:t>玻璃：产销再度走弱，短线震荡偏空</w:t>
          </w:r>
          <w:r>
            <w:rPr>
              <w:bCs/>
            </w:rPr>
            <w:fldChar w:fldCharType="end"/>
          </w:r>
        </w:p>
        <w:p>
          <w:pPr>
            <w:pStyle w:val="74"/>
            <w:tabs>
              <w:tab w:val="right" w:leader="dot" w:pos="8306"/>
            </w:tabs>
          </w:pPr>
          <w:r>
            <w:rPr>
              <w:bCs/>
            </w:rPr>
            <w:fldChar w:fldCharType="begin"/>
          </w:r>
          <w:r>
            <w:rPr>
              <w:bCs/>
            </w:rPr>
            <w:instrText xml:space="preserve"> HYPERLINK \l _Toc30471 </w:instrText>
          </w:r>
          <w:r>
            <w:rPr>
              <w:bCs/>
            </w:rPr>
            <w:fldChar w:fldCharType="separate"/>
          </w:r>
          <w:r>
            <w:rPr>
              <w:rFonts w:hint="eastAsia" w:ascii="楷体" w:hAnsi="楷体" w:eastAsia="楷体"/>
              <w:szCs w:val="24"/>
            </w:rPr>
            <w:t>纯碱：轻碱产销较好，现货稳价期价窄幅震荡</w:t>
          </w:r>
          <w:r>
            <w:rPr>
              <w:bCs/>
            </w:rPr>
            <w:fldChar w:fldCharType="end"/>
          </w:r>
        </w:p>
        <w:p>
          <w:pPr>
            <w:pStyle w:val="59"/>
            <w:tabs>
              <w:tab w:val="right" w:leader="dot" w:pos="8306"/>
            </w:tabs>
          </w:pPr>
          <w:r>
            <w:rPr>
              <w:bCs/>
            </w:rPr>
            <w:fldChar w:fldCharType="begin"/>
          </w:r>
          <w:r>
            <w:rPr>
              <w:bCs/>
            </w:rPr>
            <w:instrText xml:space="preserve"> HYPERLINK \l _Toc14891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_Toc19415 </w:instrText>
          </w:r>
          <w:r>
            <w:rPr>
              <w:bCs/>
            </w:rPr>
            <w:fldChar w:fldCharType="separate"/>
          </w:r>
          <w:r>
            <w:rPr>
              <w:rFonts w:hint="eastAsia" w:ascii="楷体" w:hAnsi="楷体" w:eastAsia="楷体"/>
              <w:bCs/>
            </w:rPr>
            <w:t>玉米与淀粉：</w:t>
          </w:r>
          <w:r>
            <w:rPr>
              <w:rFonts w:hint="eastAsia" w:ascii="楷体" w:hAnsi="楷体" w:eastAsia="楷体"/>
            </w:rPr>
            <w:t>期价继续震荡回落</w:t>
          </w:r>
          <w:r>
            <w:rPr>
              <w:bCs/>
            </w:rPr>
            <w:fldChar w:fldCharType="end"/>
          </w:r>
        </w:p>
        <w:p>
          <w:pPr>
            <w:pStyle w:val="74"/>
            <w:tabs>
              <w:tab w:val="right" w:leader="dot" w:pos="8306"/>
            </w:tabs>
          </w:pPr>
          <w:r>
            <w:rPr>
              <w:bCs/>
            </w:rPr>
            <w:fldChar w:fldCharType="begin"/>
          </w:r>
          <w:r>
            <w:rPr>
              <w:bCs/>
            </w:rPr>
            <w:instrText xml:space="preserve"> HYPERLINK \l _Toc19320 </w:instrText>
          </w:r>
          <w:r>
            <w:rPr>
              <w:bCs/>
            </w:rPr>
            <w:fldChar w:fldCharType="separate"/>
          </w:r>
          <w:r>
            <w:rPr>
              <w:rFonts w:hint="eastAsia" w:ascii="楷体" w:hAnsi="楷体" w:eastAsia="楷体"/>
              <w:bCs/>
            </w:rPr>
            <w:t>畜禽养殖：期价午后大幅下行</w:t>
          </w:r>
          <w:r>
            <w:rPr>
              <w:bCs/>
            </w:rPr>
            <w:fldChar w:fldCharType="end"/>
          </w:r>
        </w:p>
        <w:p>
          <w:pPr>
            <w:pStyle w:val="74"/>
            <w:tabs>
              <w:tab w:val="right" w:leader="dot" w:pos="8306"/>
            </w:tabs>
          </w:pPr>
          <w:r>
            <w:rPr>
              <w:bCs/>
            </w:rPr>
            <w:fldChar w:fldCharType="begin"/>
          </w:r>
          <w:r>
            <w:rPr>
              <w:bCs/>
            </w:rPr>
            <w:instrText xml:space="preserve"> HYPERLINK \l _Toc7381 </w:instrText>
          </w:r>
          <w:r>
            <w:rPr>
              <w:bCs/>
            </w:rPr>
            <w:fldChar w:fldCharType="separate"/>
          </w:r>
          <w:r>
            <w:rPr>
              <w:rFonts w:hint="eastAsia" w:ascii="楷体" w:hAnsi="楷体" w:eastAsia="楷体"/>
              <w:bCs/>
            </w:rPr>
            <w:t>白糖：涨跌反复，持续观望</w:t>
          </w:r>
          <w:r>
            <w:rPr>
              <w:bCs/>
            </w:rPr>
            <w:fldChar w:fldCharType="end"/>
          </w:r>
        </w:p>
        <w:p>
          <w:pPr>
            <w:pStyle w:val="59"/>
            <w:tabs>
              <w:tab w:val="right" w:leader="dot" w:pos="8306"/>
            </w:tabs>
          </w:pPr>
          <w:r>
            <w:rPr>
              <w:bCs/>
            </w:rPr>
            <w:fldChar w:fldCharType="begin"/>
          </w:r>
          <w:r>
            <w:rPr>
              <w:bCs/>
            </w:rPr>
            <w:instrText xml:space="preserve"> HYPERLINK \l _Toc11633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_Toc19761 </w:instrText>
          </w:r>
          <w:r>
            <w:rPr>
              <w:bCs/>
            </w:rPr>
            <w:fldChar w:fldCharType="separate"/>
          </w:r>
          <w:r>
            <w:rPr>
              <w:rFonts w:hint="eastAsia" w:ascii="Times New Roman" w:hAnsi="Times New Roman" w:eastAsia="楷体"/>
              <w:szCs w:val="24"/>
            </w:rPr>
            <w:t>集运指数（欧线）：中东局势有待观察期货高位继续震荡</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9317"/>
      <w:bookmarkStart w:id="2" w:name="_Toc18033"/>
      <w:bookmarkStart w:id="3" w:name="_Toc13865"/>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16295"/>
      <w:bookmarkStart w:id="6" w:name="_Toc965"/>
      <w:bookmarkStart w:id="7" w:name="_Toc8408"/>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多IF空IM组合策略暂止盈，待低位再行入场</w:t>
      </w:r>
      <w:bookmarkEnd w:id="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近两日微盘股出现暴跌行情，主要原因在于部分投资者对于“新国九条”误读，监管很快就会释放积极呵护信号。本次退市规则修改主要是着眼于提升存量上市公司整体质量，通过严格退市标准，加大对“僵尸空壳”和“害群之马”出清力度，精准出清劣迹、绩差的风险公司，而非针对小盘股。但4月中下旬进入业绩集中披露期，小、微盘股在强监管下仍有一定业绩暴雷风险，市场波动或较大，短期投资者应适当规避小微盘股方向。前期多IF空IM组合策略已到止盈位，月内可以在低位再度入场交易。</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28305"/>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5637"/>
      <w:r>
        <w:rPr>
          <w:rFonts w:hint="eastAsia" w:ascii="Times New Roman" w:hAnsi="Times New Roman" w:eastAsia="楷体"/>
          <w:b/>
          <w:color w:val="000000" w:themeColor="text1"/>
          <w:sz w:val="24"/>
          <w:szCs w:val="24"/>
          <w14:textFill>
            <w14:solidFill>
              <w14:schemeClr w14:val="tx1"/>
            </w14:solidFill>
          </w14:textFill>
        </w:rPr>
        <w:t>贵金属：IMF上调全球经济增长预期，沪金小幅反弹</w:t>
      </w:r>
      <w:bookmarkEnd w:id="9"/>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沪金涨1.60%至570.60元/克，沪银跌0.50%至7379元/千克。IMF上调今年全球经济增长预期至3.2%，预计全球总体通胀和核心通胀将稳步下降。美联储主席鲍威尔表示，最近的通胀数据表明，央行可能需要更长的时间才能获得降息所需的信心。鲍威尔指出，在经历了去年年底的快速下滑后，在通胀方面缺乏进一步的进展；价格压力持续存在，只要有需要，美联储可以保持利率稳定。美联储副主席杰斐逊表示，劳动力市场将保持强劲，继续实现再平衡；预计通胀率将随着美联储利率保持稳定而下降；如果通胀持续高企，应将利率维持较高水平更长时间。在海外再通胀扰动背景下，沪金、沪银中长期角度维持看多观点。</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_Toc20891"/>
      <w:bookmarkStart w:id="11" w:name="金属"/>
      <w:bookmarkStart w:id="12" w:name="_Toc3096"/>
      <w:bookmarkStart w:id="13" w:name="_Toc32766"/>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5" w:name="_Toc10887"/>
      <w:bookmarkStart w:id="16" w:name="_Toc27831"/>
      <w:bookmarkStart w:id="17" w:name="_Toc5371"/>
      <w:r>
        <w:rPr>
          <w:rFonts w:hint="eastAsia" w:ascii="楷体" w:hAnsi="楷体" w:eastAsia="楷体"/>
          <w:b/>
          <w:color w:val="000000" w:themeColor="text1"/>
          <w:sz w:val="24"/>
          <w:szCs w:val="24"/>
          <w14:textFill>
            <w14:solidFill>
              <w14:schemeClr w14:val="tx1"/>
            </w14:solidFill>
          </w14:textFill>
        </w:rPr>
        <w:t>碳酸锂：跟随宏观情绪运行，期价下跌</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期价震荡下行，07合约收跌3.78%至108150元/吨。周初期价跟随宏观情绪和有色板块整体下探，整体仍处于三角区间内震荡整理，个别海外盐湖企业长协价略微低于当前期价和现货均价，或亦令市场心理价位略微回调。上游惜售及挺价情绪延续，下游观望情绪影响下维持低位刚需采购，供需博弈期间期价或维持区间震荡。</w:t>
      </w:r>
    </w:p>
    <w:bookmarkEnd w:id="16"/>
    <w:bookmarkEnd w:id="17"/>
    <w:p>
      <w:pPr>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9719"/>
      <w:bookmarkStart w:id="19" w:name="_Toc25617"/>
      <w:bookmarkStart w:id="20" w:name="_Toc5437"/>
      <w:r>
        <w:rPr>
          <w:rFonts w:hint="eastAsia" w:ascii="楷体" w:hAnsi="楷体" w:eastAsia="楷体"/>
          <w:b/>
          <w:color w:val="000000" w:themeColor="text1"/>
          <w:sz w:val="24"/>
          <w:szCs w:val="24"/>
          <w14:textFill>
            <w14:solidFill>
              <w14:schemeClr w14:val="tx1"/>
            </w14:solidFill>
          </w14:textFill>
        </w:rPr>
        <w:t>铜：</w:t>
      </w:r>
      <w:bookmarkEnd w:id="18"/>
      <w:bookmarkEnd w:id="19"/>
      <w:r>
        <w:rPr>
          <w:rFonts w:hint="eastAsia" w:ascii="楷体" w:hAnsi="楷体" w:eastAsia="楷体"/>
          <w:b/>
          <w:color w:val="000000" w:themeColor="text1"/>
          <w:sz w:val="24"/>
          <w:szCs w:val="24"/>
          <w14:textFill>
            <w14:solidFill>
              <w14:schemeClr w14:val="tx1"/>
            </w14:solidFill>
          </w14:textFill>
        </w:rPr>
        <w:t>再通胀交易情绪未消退，铜价维持高位运行</w:t>
      </w:r>
      <w:bookmarkEnd w:id="20"/>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(1)宏观：IMF：预计2024年和2025年全球实际GDP增长率将保持在3.2%，与2023年持平。</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(2)库存：4月16日，SHFE仓单库存234303吨，增4286吨；LME仓单库存123875吨，增400吨。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(3)精废价差：4月16日，Mysteel精废价差3566，扩张272。目前价差在合理价差1468之上。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美国3月零售销售增幅超过预期，前一个月的数据被修正得更高，或支持一季度强劲的经济增长。美元、黄金及铜价均保持强势，国内一季度经济数据显示国内经济正温和复苏，利好铜预期需求，但仍面临地产拖累等不确定因素。基本面，铜精矿TC暂未止跌，原料矛盾仍是支撑价格的主要因素，但当前库存高位，现货持续贴水，需求向下传导不畅，价格高位压力仍存。总体来看，宏观层面再通胀交易情绪仍在持续，内外持仓量均维持高位，资金热度未明显减退，短期价格高位运行为主。</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1" w:name="_Toc8897"/>
      <w:bookmarkStart w:id="22" w:name="_Toc6247"/>
      <w:bookmarkStart w:id="23" w:name="_Toc27419"/>
      <w:r>
        <w:rPr>
          <w:rFonts w:hint="eastAsia" w:ascii="楷体" w:hAnsi="楷体" w:eastAsia="楷体"/>
          <w:b/>
          <w:color w:val="000000" w:themeColor="text1"/>
          <w:sz w:val="24"/>
          <w:szCs w:val="24"/>
          <w14:textFill>
            <w14:solidFill>
              <w14:schemeClr w14:val="tx1"/>
            </w14:solidFill>
          </w14:textFill>
        </w:rPr>
        <w:t>铝：</w:t>
      </w:r>
      <w:bookmarkEnd w:id="21"/>
      <w:bookmarkEnd w:id="22"/>
      <w:r>
        <w:rPr>
          <w:rFonts w:hint="eastAsia" w:ascii="楷体" w:hAnsi="楷体" w:eastAsia="楷体"/>
          <w:b/>
          <w:color w:val="000000" w:themeColor="text1"/>
          <w:sz w:val="24"/>
          <w:szCs w:val="24"/>
          <w14:textFill>
            <w14:solidFill>
              <w14:schemeClr w14:val="tx1"/>
            </w14:solidFill>
          </w14:textFill>
        </w:rPr>
        <w:t>铝价快速上涨后出现回调，整体趋势维持看多态度</w:t>
      </w:r>
      <w:bookmarkEnd w:id="23"/>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国3月CPI数据超预期表现，联储态度偏鹰，市场对年内降息仍抱有信心，海外宏观情绪未受明显影响，俄铝制裁或再引发市场供应恐慌情绪，支撑市场铝价，国内针对汽车、工业品消费均有利多政策信号释放，国内宏观延续偏多。国内电解铝运行产能持续抬升，云南地区水位补充情况良好，目前供应端保持相对稳定，铝锭进口 盈利窗口关闭，后续进口补充相对有限，保税库存维持增长态势，下游企业因高铝价抑制开工，企业来单量减少，对原料价格存畏高情绪， 需求在旺季边际修复但程度有限，伦铝库存去库，国内交易所库存累积，社库去库，铝棒现货库存累积。整体上看，铝价突破上方压力走势趋强，目前盘面受宏观情绪引导大于基本面影响，海外消费复苏有乐观预期，俄铝制裁引发全球市场供应恐慌，高铝价或成为市场常态，下游接受抬价仍需时间消化，整体判断认为铝价趋势看多，短暂回调不破仍有上涨动力。</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4" w:name="_Toc26805"/>
      <w:r>
        <w:rPr>
          <w:rFonts w:hint="eastAsia" w:ascii="楷体" w:hAnsi="楷体" w:eastAsia="楷体"/>
          <w:b/>
          <w:color w:val="000000" w:themeColor="text1"/>
          <w:sz w:val="24"/>
          <w:szCs w:val="24"/>
          <w14:textFill>
            <w14:solidFill>
              <w14:schemeClr w14:val="tx1"/>
            </w14:solidFill>
          </w14:textFill>
        </w:rPr>
        <w:t>锌：锌价上行动力有限</w:t>
      </w:r>
      <w:bookmarkEnd w:id="2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国CPI同比数据强于预期，联储发言鹰派，市场对年内降息预期笃定，宏观情绪依旧偏多为主。基本面来看，供应端有原料趋紧、冶炼端利润负反馈导致的生产减停风险，需求端指向传统消费有所拖累，新兴消费占比较小提振有限，整体上看供应有减停预期，需求边际修复，市场对高价锌接受度有限，现货多为贴水，库存持续累库对盘面价格上方形成压力。</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28346"/>
      <w:r>
        <w:rPr>
          <w:rFonts w:hint="eastAsia" w:ascii="楷体" w:hAnsi="楷体" w:eastAsia="楷体"/>
          <w:b/>
          <w:color w:val="000000" w:themeColor="text1"/>
          <w:sz w:val="24"/>
          <w:szCs w:val="24"/>
          <w14:textFill>
            <w14:solidFill>
              <w14:schemeClr w14:val="tx1"/>
            </w14:solidFill>
          </w14:textFill>
        </w:rPr>
        <w:t>镍：俄镍制裁扰动有限，镍价承压运行</w:t>
      </w:r>
      <w:bookmarkEnd w:id="2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方面，国内市场受到俄镍制裁消息的情绪冲击有限，对镍价带来的溢价迅速被修正，此外，避险情绪升温及美联储降息预期下修对本轮宏观积极情绪起到边际削弱作用。成本方面，镍中间品及硫酸镍供应增加，其现货偏紧问题已得到缓解，加之下游需求增速放缓，电积镍成本支撑存在下跌空间。需求方面，步入4月后，新能源汽车市场产销增速环比放缓；不锈钢市场供需压力凸显，由于存在利润空间，暂未看到减产计划。供应方面，精炼镍产能持续释放，镍市仍处于供应显著过剩格局中，国内社会库存持续积累。综合而言，英美制裁俄镍未对镍价带来明显情绪扰动，在MHP及硫酸镍供应恢复、社会维持累库的情形下，镍价承压运行。</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10977"/>
      <w:r>
        <w:rPr>
          <w:rFonts w:hint="eastAsia" w:ascii="楷体" w:hAnsi="楷体" w:eastAsia="楷体"/>
          <w:b/>
          <w:color w:val="000000" w:themeColor="text1"/>
          <w:sz w:val="24"/>
          <w:szCs w:val="24"/>
          <w14:textFill>
            <w14:solidFill>
              <w14:schemeClr w14:val="tx1"/>
            </w14:solidFill>
          </w14:textFill>
        </w:rPr>
        <w:t>不锈钢：供应压力显著，价格存在回调压力</w:t>
      </w:r>
      <w:bookmarkEnd w:id="2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近期不锈钢价格运行主要是跟随宏观情绪对有色板块的扰动，需注意到其基本面供需矛盾凸显。镍矿端，雨季已结束，菲律宾镍矿山发货量增加，预计价格偏弱运行；印尼镍矿偏紧问题需要一定时间缓解，目前镍矿价格暂时持稳。镍铁端，近日镍铁价格触底回升，但印尼镍铁供应持续增加，镍铁价格始终承压。需求方面，清明节后下游成交氛围整边际好转，但房地产及基建等终端领域需求表现仍偏弱，持续观察需求恢复情况。供应方面，不锈钢4月排产水平较高，不锈钢社会库存已超过118万吨；仓单库存持续刷新历史高位至16万吨左右，体现不锈钢供需矛盾明显。综合而言，目前宏观利多情绪边际弱化，加上不锈钢供需矛盾凸显，库存处于绝对高位，价格存在回调压力，关注需求变化状况。</w:t>
      </w:r>
    </w:p>
    <w:p>
      <w:pPr>
        <w:rPr>
          <w:rFonts w:ascii="楷体" w:hAnsi="楷体" w:eastAsia="楷体"/>
          <w:bCs/>
          <w:sz w:val="24"/>
          <w:szCs w:val="24"/>
        </w:rPr>
      </w:pPr>
    </w:p>
    <w:p>
      <w:pPr>
        <w:ind w:left="420" w:leftChars="200"/>
        <w:outlineLvl w:val="1"/>
        <w:rPr>
          <w:rFonts w:ascii="楷体" w:hAnsi="楷体" w:eastAsia="楷体"/>
          <w:b/>
          <w:sz w:val="24"/>
          <w:szCs w:val="24"/>
        </w:rPr>
      </w:pPr>
      <w:bookmarkStart w:id="27" w:name="_Toc27574"/>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库存压力依旧较大，盘面或将偏弱运行</w:t>
      </w:r>
      <w:bookmarkEnd w:id="27"/>
    </w:p>
    <w:p>
      <w:pPr>
        <w:ind w:left="630" w:leftChars="300"/>
        <w:rPr>
          <w:rFonts w:ascii="楷体" w:hAnsi="楷体" w:eastAsia="楷体"/>
          <w:sz w:val="24"/>
          <w:szCs w:val="24"/>
        </w:rPr>
      </w:pPr>
      <w:r>
        <w:rPr>
          <w:rFonts w:hint="eastAsia" w:ascii="楷体" w:hAnsi="楷体" w:eastAsia="楷体"/>
          <w:sz w:val="24"/>
          <w:szCs w:val="24"/>
        </w:rPr>
        <w:t>4月16日，Si2406主力合约呈下行走势，收盘价11955元/吨，较上一收盘价涨跌幅-1.93%。从供应端来看，南方地区开工率维持低位，北方地区部分硅厂开始停炉检修，整体供应有缩减预期。从需求端来看，三大下游除铝合金市场相对稳定外，核心板块多晶硅与有机硅市场情绪依旧悲观，整体库存压力较大，市场仍处于下行通道，暂未看到企稳迹象。综合而言，供需面边际转向双弱格局，由于行业库存压力较大，暂未得到有效缓解，昨日一方面新疆大厂下调报价，另一方面仓单大幅增加，叠加仓单存在贬值预期，对盘面构成一定压力，短期或将偏弱运行。策略上，建议谨慎资金观望，激进资金尝试逢高做空机会。</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8" w:name="化工"/>
      <w:r>
        <w:rPr>
          <w:rFonts w:hint="eastAsia" w:ascii="Times New Roman" w:hAnsi="Times New Roman" w:eastAsia="楷体"/>
          <w:b/>
          <w:color w:val="823C0B"/>
          <w:sz w:val="30"/>
          <w:szCs w:val="30"/>
        </w:rPr>
        <w:t xml:space="preserve"> </w:t>
      </w:r>
      <w:bookmarkStart w:id="29" w:name="_Toc27018"/>
      <w:r>
        <w:rPr>
          <w:rFonts w:hint="eastAsia" w:ascii="Times New Roman" w:hAnsi="Times New Roman" w:eastAsia="楷体"/>
          <w:b/>
          <w:color w:val="823C0B"/>
          <w:sz w:val="30"/>
          <w:szCs w:val="30"/>
        </w:rPr>
        <w:t>[化工]</w:t>
      </w:r>
      <w:bookmarkEnd w:id="28"/>
      <w:bookmarkEnd w:id="29"/>
    </w:p>
    <w:p>
      <w:pPr>
        <w:ind w:firstLine="482" w:firstLineChars="200"/>
        <w:outlineLvl w:val="1"/>
        <w:rPr>
          <w:rFonts w:ascii="楷体" w:hAnsi="楷体" w:eastAsia="楷体"/>
          <w:b/>
          <w:sz w:val="24"/>
          <w:szCs w:val="24"/>
        </w:rPr>
      </w:pPr>
      <w:bookmarkStart w:id="30" w:name="_Toc3722"/>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抛储消息传出 天胶短期或震荡整理</w:t>
      </w:r>
      <w:bookmarkEnd w:id="30"/>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目前看，云南产区有传天气偏干，开割不顺。海南产区物候条件优越，已经开割。短期海内外产区原料价格仍然偏强。港口库存方面，近期由于进口量减少，因此港口库存有所去化。下游轮胎厂在天胶价格屡创新高后也没有出现投机性购入原料的情况，证实橡胶的供应十分充足。需求端来看，下游轮胎企业开工率高位维持，半钢胎在海外出口需求旺盛下，开工率创下新高，对原料补库积极性提高，提振天胶消费。全钢胎方面，因整体需求偏弱，各企业成品库存表现不一，后期不排除个别企业会出现生产降速的可能性。终端汽车方面，3-4月车企优惠政策延续。根据工信部最新公布的新车上市名录里面可以看到，多家车企的新车型与换代车型将于近期发售，亦将刺激未来汽车销售增长预期。整体看，近期海外原料价格虽止涨回调，但仍处于偏强水平，一定程度上对胶价存底部支撑。但抛储消息一出，短期或限制橡胶向上动能。</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26052"/>
      <w:r>
        <w:rPr>
          <w:rFonts w:hint="eastAsia" w:ascii="楷体" w:hAnsi="楷体" w:eastAsia="楷体"/>
          <w:b/>
          <w:color w:val="000000" w:themeColor="text1"/>
          <w:sz w:val="24"/>
          <w:szCs w:val="24"/>
          <w14:textFill>
            <w14:solidFill>
              <w14:schemeClr w14:val="tx1"/>
            </w14:solidFill>
          </w14:textFill>
        </w:rPr>
        <w:t>聚烯烃：市场多空因素共存，PE整体依旧强于PP</w:t>
      </w:r>
      <w:bookmarkEnd w:id="31"/>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聚烯烃近端转弱远端转强，近端转弱一方面在于检修的阶段性回归，另一方面在于印尼配额政策取消和东南亚斋月导致的海外市场需求下滑和国内出口回落。远端偏强在于未来检修不断增多，后续库存将会去化，具体幅度还是要看需求。聚烯烃整体市场需求并不是很好，订单持平偏弱，利润同比更弱，成品库存较高的情况下难以看到大规模的补库，建议PP短期空单减仓，PE逢低做多。</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2" w:name="_Toc26711"/>
      <w:r>
        <w:rPr>
          <w:rFonts w:hint="eastAsia" w:ascii="楷体" w:hAnsi="楷体" w:eastAsia="楷体"/>
          <w:b/>
          <w:color w:val="000000" w:themeColor="text1"/>
          <w:sz w:val="24"/>
          <w:szCs w:val="24"/>
          <w14:textFill>
            <w14:solidFill>
              <w14:schemeClr w14:val="tx1"/>
            </w14:solidFill>
          </w14:textFill>
        </w:rPr>
        <w:t>玻璃：产销再度走弱，短线震荡偏空</w:t>
      </w:r>
      <w:bookmarkEnd w:id="32"/>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4月16日报道：今日浮法玻璃现货价格1737元/吨，较上一交易日-3元/吨。供给上，日熔量17.43万吨/天，较上周冷修一条产线。库存上，截止到20240411，全国浮法玻璃样本企业总库存6037.4万重箱，环比-481.8万重箱，环比-7.39%，同比+3.13%，本周产销边际下滑。现货端，沙河地区成交走弱，再度开始降价销售，湖北地区产销走弱，部分企业降价出货，华南和华东边际走弱。总体来看，供给端仍处于高位，4月需求环比3月有所改善，中下游月初补库，但经过两周的补库以后，贸易商社库累库，下游深加工企业采购谨慎。盘面上，多空分歧较大，下方有成本支撑，上方高供给下，平水附近套保压力较大，建议短线区间操作为主，参考区间（1400，1500）。</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33" w:name="_Toc30471"/>
      <w:r>
        <w:rPr>
          <w:rFonts w:hint="eastAsia" w:ascii="楷体" w:hAnsi="楷体" w:eastAsia="楷体"/>
          <w:b/>
          <w:color w:val="000000" w:themeColor="text1"/>
          <w:sz w:val="24"/>
          <w:szCs w:val="24"/>
          <w14:textFill>
            <w14:solidFill>
              <w14:schemeClr w14:val="tx1"/>
            </w14:solidFill>
          </w14:textFill>
        </w:rPr>
        <w:t>纯碱：轻碱产销较好，现货稳价期价窄幅震荡</w:t>
      </w:r>
      <w:bookmarkEnd w:id="33"/>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月中纯碱现货报价大稳小涨，华中和华北重碱报价在1900元/吨左右，轻碱报价较前期涨50元/吨，约在1800元/吨附近，轻重碱价差收窄，低价补涨，高价稳价。从供给端来看，隆众资讯4月11日报道：周纯碱产量70.62万吨，环比增加0.8万吨，涨幅1.15%。金山技改产能投料，河南骏化、天津碱厂检修，预计本周产量在73万吨附近。从库存上看，截止到2024年4月15日，本周国内纯碱厂家总库存89.45万吨，环比上周四下降1.80万吨，跌幅1.97%。其中，轻质库存36.21万吨，重质库存53.24万吨。需求端表现平稳，新单基本到月底。盘面上，由于检修传闻较多，主力合约反弹，目前较1900元附近的现货升水，部分碱厂以涨价促进销售，远月09合约反弹到升水以上有无风险套利机会，本周随着产能的陆续恢复，继续上涨突破的驱动力不强，期现预计维持在氨碱成本和现货价格之间宽幅震荡格局，注意地缘政治不稳定导致的燃料成本上行风险。</w:t>
      </w:r>
    </w:p>
    <w:p>
      <w:pPr>
        <w:rPr>
          <w:rFonts w:ascii="Times New Roman" w:hAnsi="Times New Roman" w:eastAsia="楷体"/>
          <w:bCs/>
        </w:rPr>
      </w:pPr>
    </w:p>
    <w:p>
      <w:pPr>
        <w:pBdr>
          <w:top w:val="single" w:color="auto" w:sz="4" w:space="1"/>
        </w:pBdr>
        <w:outlineLvl w:val="0"/>
        <w:rPr>
          <w:rFonts w:ascii="楷体" w:hAnsi="楷体" w:eastAsia="楷体"/>
          <w:bCs/>
          <w:sz w:val="24"/>
          <w:szCs w:val="24"/>
        </w:rPr>
      </w:pPr>
      <w:r>
        <w:rPr>
          <w:rFonts w:hint="eastAsia" w:ascii="Times New Roman" w:hAnsi="Times New Roman" w:eastAsia="楷体"/>
          <w:b/>
          <w:color w:val="823C0B"/>
          <w:sz w:val="30"/>
          <w:szCs w:val="30"/>
        </w:rPr>
        <w:t xml:space="preserve"> </w:t>
      </w:r>
      <w:bookmarkStart w:id="34" w:name="_Toc14891"/>
      <w:r>
        <w:rPr>
          <w:rFonts w:hint="eastAsia" w:ascii="Times New Roman" w:hAnsi="Times New Roman" w:eastAsia="楷体"/>
          <w:b/>
          <w:color w:val="823C0B"/>
          <w:sz w:val="30"/>
          <w:szCs w:val="30"/>
        </w:rPr>
        <w:t>[农产品]</w:t>
      </w:r>
      <w:bookmarkEnd w:id="14"/>
      <w:bookmarkEnd w:id="34"/>
    </w:p>
    <w:p>
      <w:pPr>
        <w:pStyle w:val="93"/>
        <w:spacing w:before="60" w:beforeAutospacing="0" w:after="60" w:afterAutospacing="0"/>
        <w:ind w:left="420" w:leftChars="200"/>
        <w:outlineLvl w:val="1"/>
        <w:rPr>
          <w:rFonts w:ascii="楷体" w:hAnsi="楷体" w:eastAsia="楷体"/>
          <w:b/>
        </w:rPr>
      </w:pPr>
      <w:bookmarkStart w:id="35" w:name="_Toc19415"/>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期价继续震荡回落</w:t>
      </w:r>
      <w:bookmarkEnd w:id="3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目前市场陷入涨跌两难的尴尬局面，下方支撑更多源于国家政策，其一方面在东北增储减少市场实际供应，另一方面限制玉米进口有望增加国产玉米需求，这使得东北产区现货暂无崩盘之虞；而上涨则缺乏驱动，北方港口库存持续回升，南方港口全部谷物库存依然高企，更为纠结的是华北产区现货价格持续低迷，这源于新作增产、陈化水稻结转加上非瘟疫情影响饲用需求所带来的售粮进度偏慢，及其新作小麦低价预期所带来的饲用替代担忧。我们维持谨慎看多观点，建议投资者持有前期多单。</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近期带动淀粉-玉米价差先抑后扬，前期收窄更多源于行业供需宽松背景下的原料成本因素，即行业供需趋于宽松之下，盘面期价倾向于反映原料成本更低的华北产区淀粉；后期走扩更多源于副产品端，即近期副产品持续回落之后，期现货生产利润下滑，盘面甚至已经大幅亏损。在这种情况下，接下来更多关注原料成本端，特别是华北-东北玉米价差。综上所述，我们维持谨慎看多观点，建议前期多单可以考虑继续持有，套利方面则暂以观望为宜。</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36" w:name="_Toc19320"/>
      <w:r>
        <w:rPr>
          <w:rFonts w:hint="eastAsia" w:ascii="楷体" w:hAnsi="楷体" w:eastAsia="楷体"/>
          <w:b/>
          <w:bCs/>
          <w:color w:val="000000" w:themeColor="text1"/>
          <w14:textFill>
            <w14:solidFill>
              <w14:schemeClr w14:val="tx1"/>
            </w14:solidFill>
          </w14:textFill>
        </w:rPr>
        <w:t>畜禽养殖：期价午后大幅下行</w:t>
      </w:r>
      <w:bookmarkEnd w:id="36"/>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市场基于行业产能去化即能繁母猪存栏持续下滑合理预期远期趋于改善，这体现在期价远月升水结构上，市场分歧更多在于供需改善的幅度，主要源于两个方面，其一是产能去化是否达到足以改变行业供需格局的水平，其二是生产效率的提升可能对冲产能去化对生猪实际供应下降的影响。从农业农村部公布的2023年4季度末生猪存栏来看，今年上半年生猪供应量同比下降4%左右，考虑到生猪出栏体重同比上升，这意味着上半年供需改善幅度或受限，更多取决于市场供应节奏，即屠宰企业冷冻入库和养殖户惜售压栏与二次育肥等。相对而言，三季度供应阶段性下降或更为确定，主要原因有二，其一是去年四季度非瘟疫情加上养殖户资金问题加速淘汰，其二是仔猪价格1月以来加速上涨，其对应7月之后生猪供应。考虑到近月期价已转为贴水现货，表明其已转而反映现货回落预期，接下来需要关注现货走势，而在远月-近月价差持续走扩之后，远月期价升水或已经在一定程度上反映现货上涨预期。据此我们中期谨慎看多，短期维持中性观点，建议投资者观望为宜，前期月间价差套利可择机离场。</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从供需层面看，卓创资讯公布的在产蛋鸡存栏持续环比增加，考虑到老龄蛋鸡占比下降，意味着可淘老鸡数量受限，再加上春节后鸡蛋现货价格带动鸡苗价格和种蛋利用率回升，这些均表明行业供需仍有望趋于宽松。当然，节后现货的快速反弹，带来市场对鸡蛋供需预期的分歧，但这不排除更多源于库存的变动。从原料成本角度看，考虑到鸡蛋养殖利润因行业供需处于往年同期低位，饲料成本因素对鸡蛋期现货影响或相对大于生猪，在这种情况下，需要特别留意饲料原料即豆粕和玉米上涨的持续性。综上所述，行业供需宽松格局尚未改变，而饲料原料成本上涨持续性存疑，鸡蛋期现货趋势尚不明朗，或陷入震荡区间调整态势，重点留意现货和利润对应养殖补栏和淘汰积极性的影响。我们维持中性观点，建议投资者观望，可考虑参与短线操作。</w:t>
      </w:r>
    </w:p>
    <w:p>
      <w:pPr>
        <w:ind w:firstLine="480" w:firstLineChars="200"/>
        <w:rPr>
          <w:rFonts w:ascii="楷体" w:hAnsi="楷体" w:eastAsia="楷体"/>
          <w:sz w:val="24"/>
          <w:szCs w:val="24"/>
        </w:rPr>
      </w:pPr>
    </w:p>
    <w:p>
      <w:pPr>
        <w:pStyle w:val="93"/>
        <w:spacing w:before="60" w:beforeAutospacing="0" w:after="60" w:afterAutospacing="0"/>
        <w:ind w:left="420" w:leftChars="200"/>
        <w:outlineLvl w:val="1"/>
        <w:rPr>
          <w:rFonts w:ascii="楷体" w:hAnsi="楷体" w:eastAsia="楷体"/>
          <w:b/>
        </w:rPr>
      </w:pPr>
      <w:bookmarkStart w:id="37" w:name="_Toc7381"/>
      <w:r>
        <w:rPr>
          <w:rFonts w:hint="eastAsia" w:ascii="楷体" w:hAnsi="楷体" w:eastAsia="楷体"/>
          <w:b/>
          <w:bCs/>
          <w:color w:val="000000" w:themeColor="text1"/>
          <w14:textFill>
            <w14:solidFill>
              <w14:schemeClr w14:val="tx1"/>
            </w14:solidFill>
          </w14:textFill>
        </w:rPr>
        <w:t>白糖：涨跌反复，持续观望</w:t>
      </w:r>
      <w:bookmarkEnd w:id="37"/>
    </w:p>
    <w:p>
      <w:pPr>
        <w:pStyle w:val="93"/>
        <w:spacing w:before="0" w:beforeAutospacing="0" w:after="60" w:afterAutospacing="0"/>
        <w:ind w:left="630" w:leftChars="300"/>
        <w:rPr>
          <w:rFonts w:ascii="楷体" w:hAnsi="楷体" w:eastAsia="楷体"/>
        </w:rPr>
      </w:pPr>
      <w:r>
        <w:rPr>
          <w:rFonts w:hint="eastAsia" w:ascii="楷体" w:hAnsi="楷体" w:eastAsia="楷体"/>
        </w:rPr>
        <w:t>据嘉利高报告，美国宣布2024年关税配额增加12.5万吨，由于原美国最大食糖供应国墨西哥作物表现不佳，无法供应足够的食糖，今年巴西获得最大配额，巴西糖市表现进一步影响国际市场。在巴西天气原因导致预估产量下调、释放多头信号的同时，StoneX预估全球食糖过剩量高于预期，市场多空因素交织，价格趋势不明朗。国内市场方面，继昨日日盘下跌后，昨日夜盘重新回调，郑糖2405、2409、2501合约涨幅分别为0.03%、0.13%和0.23%，2405合约未能重回6500位置。昨日外盘白砂糖05合约涨幅1.9%，预计今日郑糖期价跟随上涨。</w:t>
      </w: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38" w:name="_Toc11633"/>
      <w:r>
        <w:rPr>
          <w:rFonts w:hint="eastAsia" w:ascii="Times New Roman" w:hAnsi="Times New Roman" w:eastAsia="楷体"/>
          <w:b/>
          <w:color w:val="823C0B"/>
          <w:sz w:val="30"/>
          <w:szCs w:val="30"/>
        </w:rPr>
        <w:t>[指数]</w:t>
      </w:r>
      <w:bookmarkEnd w:id="38"/>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39" w:name="_Toc19761"/>
      <w:r>
        <w:rPr>
          <w:rFonts w:hint="eastAsia" w:ascii="Times New Roman" w:hAnsi="Times New Roman" w:eastAsia="楷体"/>
          <w:b/>
          <w:color w:val="000000" w:themeColor="text1"/>
          <w:sz w:val="24"/>
          <w:szCs w:val="24"/>
          <w14:textFill>
            <w14:solidFill>
              <w14:schemeClr w14:val="tx1"/>
            </w14:solidFill>
          </w14:textFill>
        </w:rPr>
        <w:t>集运指数（欧线）：中东局势有待观察期货高位继续震荡</w:t>
      </w:r>
      <w:bookmarkEnd w:id="39"/>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上海出口集装箱运价指数SCFI为1757.04点，环比+0.7%。欧线运价为1971$/TEU，环比-1.3%。4月8日盘后发布的SCFIS欧线报2172.14点，环比-0.1%，证明实际落实情况偏弱。中东方面，当地时间13日晚，伊朗向以色列发动报复性打击，实际造成损失情况较轻微。但为中东复杂局势再蒙上一层阴影，引发全球高度关注。</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船司4月提价实现但效果不如预期，但中东局势矛盾激化，预计盘面维持偏震荡，投资者交易保持观望。</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40" w:name="_Toc98426751"/>
      <w:bookmarkStart w:id="41" w:name="_Toc72481108"/>
      <w:bookmarkStart w:id="42" w:name="_Toc19667"/>
      <w:bookmarkStart w:id="43" w:name="_Toc71212556"/>
      <w:bookmarkStart w:id="44" w:name="_Toc12779"/>
      <w:r>
        <w:rPr>
          <w:rFonts w:ascii="Times New Roman" w:hAnsi="Times New Roman" w:eastAsia="楷体"/>
          <w:b/>
          <w:color w:val="411D05"/>
          <w:sz w:val="30"/>
          <w:szCs w:val="30"/>
        </w:rPr>
        <w:t>免责声明</w:t>
      </w:r>
      <w:bookmarkEnd w:id="40"/>
      <w:bookmarkEnd w:id="41"/>
      <w:bookmarkEnd w:id="42"/>
      <w:bookmarkEnd w:id="43"/>
      <w:bookmarkEnd w:id="44"/>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2024年4月17日星期三</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1954D8D"/>
    <w:rsid w:val="02E32A5D"/>
    <w:rsid w:val="035D5749"/>
    <w:rsid w:val="04C17862"/>
    <w:rsid w:val="057D13AE"/>
    <w:rsid w:val="064A667C"/>
    <w:rsid w:val="06B2613D"/>
    <w:rsid w:val="06B753E3"/>
    <w:rsid w:val="08A51999"/>
    <w:rsid w:val="09B849A4"/>
    <w:rsid w:val="09F160E3"/>
    <w:rsid w:val="0AC64130"/>
    <w:rsid w:val="0B42525D"/>
    <w:rsid w:val="0C1F7DEE"/>
    <w:rsid w:val="0C88769D"/>
    <w:rsid w:val="0CDE660D"/>
    <w:rsid w:val="0D032A7C"/>
    <w:rsid w:val="0F662138"/>
    <w:rsid w:val="0F9B0CE9"/>
    <w:rsid w:val="0FF35275"/>
    <w:rsid w:val="100732C8"/>
    <w:rsid w:val="10DA6205"/>
    <w:rsid w:val="111441F0"/>
    <w:rsid w:val="113D3FD2"/>
    <w:rsid w:val="121F7D21"/>
    <w:rsid w:val="129B2E20"/>
    <w:rsid w:val="12AA5DF8"/>
    <w:rsid w:val="132A04C1"/>
    <w:rsid w:val="1330029C"/>
    <w:rsid w:val="134E6356"/>
    <w:rsid w:val="13AE24B4"/>
    <w:rsid w:val="15364A7C"/>
    <w:rsid w:val="15602ADB"/>
    <w:rsid w:val="15D52593"/>
    <w:rsid w:val="197E6634"/>
    <w:rsid w:val="1B8A2034"/>
    <w:rsid w:val="1BC72FF7"/>
    <w:rsid w:val="1D03226A"/>
    <w:rsid w:val="1D5030CD"/>
    <w:rsid w:val="1D876087"/>
    <w:rsid w:val="1DFF64E4"/>
    <w:rsid w:val="1ECB51CD"/>
    <w:rsid w:val="1F515CF1"/>
    <w:rsid w:val="1FDC1B35"/>
    <w:rsid w:val="1FDD0CDB"/>
    <w:rsid w:val="2056595D"/>
    <w:rsid w:val="20AE4DE8"/>
    <w:rsid w:val="21194658"/>
    <w:rsid w:val="216834DE"/>
    <w:rsid w:val="21996AC1"/>
    <w:rsid w:val="219F3EE2"/>
    <w:rsid w:val="21F57098"/>
    <w:rsid w:val="22BB5089"/>
    <w:rsid w:val="24321B2E"/>
    <w:rsid w:val="244B21DE"/>
    <w:rsid w:val="245C7DFE"/>
    <w:rsid w:val="247F3074"/>
    <w:rsid w:val="24B82D9D"/>
    <w:rsid w:val="251328EC"/>
    <w:rsid w:val="258A2E5C"/>
    <w:rsid w:val="25B924F3"/>
    <w:rsid w:val="25E06B30"/>
    <w:rsid w:val="268419CF"/>
    <w:rsid w:val="26AC2D80"/>
    <w:rsid w:val="26F95364"/>
    <w:rsid w:val="293961B5"/>
    <w:rsid w:val="29A303B9"/>
    <w:rsid w:val="2B9C319C"/>
    <w:rsid w:val="2C1D776C"/>
    <w:rsid w:val="2C453820"/>
    <w:rsid w:val="2C527F9F"/>
    <w:rsid w:val="2C6C12B9"/>
    <w:rsid w:val="2CA93C52"/>
    <w:rsid w:val="2D912E3A"/>
    <w:rsid w:val="2DC02C2B"/>
    <w:rsid w:val="2DE440F7"/>
    <w:rsid w:val="2FA14A50"/>
    <w:rsid w:val="2FA70F17"/>
    <w:rsid w:val="30CB447B"/>
    <w:rsid w:val="32951C0D"/>
    <w:rsid w:val="33CE5AF4"/>
    <w:rsid w:val="340E7198"/>
    <w:rsid w:val="34A75784"/>
    <w:rsid w:val="3581551C"/>
    <w:rsid w:val="35D65FDD"/>
    <w:rsid w:val="36C14F46"/>
    <w:rsid w:val="373F75CC"/>
    <w:rsid w:val="38F320AA"/>
    <w:rsid w:val="39584559"/>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EE419C"/>
    <w:rsid w:val="3EFE09FD"/>
    <w:rsid w:val="3F345DBE"/>
    <w:rsid w:val="40F15753"/>
    <w:rsid w:val="41F950F8"/>
    <w:rsid w:val="42EB3BA1"/>
    <w:rsid w:val="43F11831"/>
    <w:rsid w:val="43F63E0D"/>
    <w:rsid w:val="44092E2E"/>
    <w:rsid w:val="441077D2"/>
    <w:rsid w:val="44396064"/>
    <w:rsid w:val="459609D9"/>
    <w:rsid w:val="45A37566"/>
    <w:rsid w:val="45CF0A85"/>
    <w:rsid w:val="46194A11"/>
    <w:rsid w:val="461E2AF1"/>
    <w:rsid w:val="47752ACA"/>
    <w:rsid w:val="47C813F2"/>
    <w:rsid w:val="49BF13F0"/>
    <w:rsid w:val="49E169F0"/>
    <w:rsid w:val="4A4A74EF"/>
    <w:rsid w:val="4A6F6249"/>
    <w:rsid w:val="4AB74C38"/>
    <w:rsid w:val="4B14426D"/>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70382C"/>
    <w:rsid w:val="57846909"/>
    <w:rsid w:val="57CB522F"/>
    <w:rsid w:val="57F46FBE"/>
    <w:rsid w:val="58042686"/>
    <w:rsid w:val="58246D5D"/>
    <w:rsid w:val="58EC5960"/>
    <w:rsid w:val="59151C86"/>
    <w:rsid w:val="59C52328"/>
    <w:rsid w:val="5AD37D8A"/>
    <w:rsid w:val="5AF87BF9"/>
    <w:rsid w:val="5B906095"/>
    <w:rsid w:val="5BF60A75"/>
    <w:rsid w:val="5C9F2D01"/>
    <w:rsid w:val="5D3F3466"/>
    <w:rsid w:val="5D5617A6"/>
    <w:rsid w:val="5D716329"/>
    <w:rsid w:val="5EA23F15"/>
    <w:rsid w:val="5EA7685B"/>
    <w:rsid w:val="5ED40954"/>
    <w:rsid w:val="60BE22C5"/>
    <w:rsid w:val="612C30C5"/>
    <w:rsid w:val="619A2BBF"/>
    <w:rsid w:val="61DF02D0"/>
    <w:rsid w:val="62710E5F"/>
    <w:rsid w:val="63735B47"/>
    <w:rsid w:val="63FF1EA7"/>
    <w:rsid w:val="64C32497"/>
    <w:rsid w:val="669D0EEA"/>
    <w:rsid w:val="66B64FC1"/>
    <w:rsid w:val="66C861F9"/>
    <w:rsid w:val="66D04BBC"/>
    <w:rsid w:val="67655BF9"/>
    <w:rsid w:val="67C6389B"/>
    <w:rsid w:val="685D4EEE"/>
    <w:rsid w:val="68AE1587"/>
    <w:rsid w:val="68D53E8D"/>
    <w:rsid w:val="6A194855"/>
    <w:rsid w:val="6B292599"/>
    <w:rsid w:val="6D9172E5"/>
    <w:rsid w:val="6E133456"/>
    <w:rsid w:val="6ECB7DD2"/>
    <w:rsid w:val="6F1E315D"/>
    <w:rsid w:val="6F79454F"/>
    <w:rsid w:val="6FE61065"/>
    <w:rsid w:val="70675779"/>
    <w:rsid w:val="713E0334"/>
    <w:rsid w:val="716F5E64"/>
    <w:rsid w:val="72417AFE"/>
    <w:rsid w:val="729B5F03"/>
    <w:rsid w:val="72D92B78"/>
    <w:rsid w:val="72F62A89"/>
    <w:rsid w:val="737357AF"/>
    <w:rsid w:val="74163BE4"/>
    <w:rsid w:val="74A928A6"/>
    <w:rsid w:val="75292EAC"/>
    <w:rsid w:val="755A5FEF"/>
    <w:rsid w:val="75775016"/>
    <w:rsid w:val="758E0106"/>
    <w:rsid w:val="7626762C"/>
    <w:rsid w:val="778F5135"/>
    <w:rsid w:val="77B53D6B"/>
    <w:rsid w:val="77D54B08"/>
    <w:rsid w:val="784F7772"/>
    <w:rsid w:val="78713929"/>
    <w:rsid w:val="78E55995"/>
    <w:rsid w:val="79267C0B"/>
    <w:rsid w:val="79C90FB7"/>
    <w:rsid w:val="7A5B105F"/>
    <w:rsid w:val="7A9E5DA7"/>
    <w:rsid w:val="7ABE4B56"/>
    <w:rsid w:val="7B264F79"/>
    <w:rsid w:val="7B3E5659"/>
    <w:rsid w:val="7BCC4162"/>
    <w:rsid w:val="7CD80967"/>
    <w:rsid w:val="7D0C2828"/>
    <w:rsid w:val="7D902239"/>
    <w:rsid w:val="7EAF7817"/>
    <w:rsid w:val="7FD6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0</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2024-04-17T01:54:54Z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