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eastAsia="楷体" w:cs="Times New Roman"/>
          <w:b/>
          <w:color w:val="823C0B"/>
          <w:sz w:val="32"/>
          <w:szCs w:val="32"/>
        </w:rPr>
      </w:pPr>
      <w:bookmarkStart w:id="0" w:name="_top"/>
      <w:bookmarkEnd w:id="0"/>
      <w:r>
        <w:rPr>
          <w:rFonts w:ascii="Times New Roman" w:hAnsi="Times New Roman" w:eastAsia="楷体" w:cs="Times New Roman"/>
          <w:b/>
          <w:color w:val="823C0B"/>
          <w:sz w:val="32"/>
          <w:szCs w:val="32"/>
        </w:rPr>
        <w:t>广州期货早间直通车</w:t>
      </w:r>
    </w:p>
    <w:p>
      <w:pPr>
        <w:jc w:val="right"/>
        <w:rPr>
          <w:rFonts w:ascii="Times New Roman" w:hAnsi="Times New Roman" w:eastAsia="楷体" w:cs="Times New Roman"/>
          <w:b/>
          <w:color w:val="823C0B"/>
          <w:sz w:val="24"/>
        </w:rPr>
      </w:pPr>
    </w:p>
    <w:p>
      <w:pPr>
        <w:jc w:val="center"/>
        <w:rPr>
          <w:rFonts w:ascii="Times New Roman" w:hAnsi="Times New Roman" w:eastAsia="楷体" w:cs="Times New Roman"/>
          <w:b/>
          <w:color w:val="823C0B"/>
          <w:sz w:val="24"/>
        </w:rPr>
      </w:pPr>
      <w:r>
        <w:rPr>
          <w:rFonts w:ascii="Times New Roman" w:hAnsi="Times New Roman" w:eastAsia="楷体" w:cs="Times New Roman"/>
          <w:b/>
          <w:color w:val="823C0B"/>
          <w:sz w:val="24"/>
        </w:rPr>
        <w:t>投资咨询业务资格：证监许可【2012】1497号</w:t>
      </w:r>
    </w:p>
    <w:p>
      <w:pPr>
        <w:jc w:val="center"/>
        <w:rPr>
          <w:rFonts w:ascii="Times New Roman" w:hAnsi="Times New Roman" w:eastAsia="楷体"/>
          <w:b/>
        </w:rPr>
      </w:pPr>
      <w:r>
        <w:rPr>
          <w:rFonts w:hint="eastAsia" w:ascii="Times New Roman" w:hAnsi="Times New Roman" w:eastAsia="楷体"/>
          <w:b/>
          <w:color w:val="823C0B"/>
          <w:sz w:val="30"/>
          <w:szCs w:val="30"/>
        </w:rPr>
        <w:t>评论品种一览</w:t>
      </w:r>
    </w:p>
    <w:sdt>
      <w:sdtPr>
        <w:rPr>
          <w:rFonts w:eastAsia="宋体" w:asciiTheme="minorHAnsi" w:hAnsiTheme="minorHAnsi" w:cstheme="minorBidi"/>
          <w:b/>
          <w:bCs/>
          <w:color w:val="auto"/>
          <w:kern w:val="2"/>
          <w:sz w:val="21"/>
          <w:szCs w:val="21"/>
          <w:lang w:val="zh-CN"/>
        </w:rPr>
        <w:id w:val="1355533930"/>
        <w:docPartObj>
          <w:docPartGallery w:val="Table of Contents"/>
          <w:docPartUnique/>
        </w:docPartObj>
      </w:sdtPr>
      <w:sdtEndPr>
        <w:rPr>
          <w:rFonts w:eastAsia="宋体" w:asciiTheme="minorHAnsi" w:hAnsiTheme="minorHAnsi" w:cstheme="minorBidi"/>
          <w:b/>
          <w:bCs/>
          <w:color w:val="auto"/>
          <w:kern w:val="2"/>
          <w:sz w:val="21"/>
          <w:szCs w:val="21"/>
          <w:lang w:val="zh-CN"/>
        </w:rPr>
      </w:sdtEndPr>
      <w:sdtContent>
        <w:p>
          <w:pPr>
            <w:pStyle w:val="98"/>
            <w:rPr>
              <w:b/>
              <w:bCs/>
            </w:rPr>
          </w:pPr>
          <w:bookmarkStart w:id="44" w:name="_GoBack"/>
          <w:bookmarkEnd w:id="44"/>
        </w:p>
        <w:p>
          <w:pPr>
            <w:pStyle w:val="59"/>
            <w:tabs>
              <w:tab w:val="right" w:leader="dot" w:pos="8306"/>
            </w:tabs>
          </w:pPr>
          <w:r>
            <w:rPr>
              <w:b/>
              <w:bCs/>
            </w:rPr>
            <w:fldChar w:fldCharType="begin"/>
          </w:r>
          <w:r>
            <w:rPr>
              <w:b/>
              <w:bCs/>
            </w:rPr>
            <w:instrText xml:space="preserve"> TOC \o "1-3" \n \h \z \u </w:instrText>
          </w:r>
          <w:r>
            <w:rPr>
              <w:b/>
              <w:bCs/>
            </w:rPr>
            <w:fldChar w:fldCharType="separate"/>
          </w:r>
          <w:r>
            <w:rPr>
              <w:bCs/>
            </w:rPr>
            <w:fldChar w:fldCharType="begin"/>
          </w:r>
          <w:r>
            <w:rPr>
              <w:bCs/>
            </w:rPr>
            <w:instrText xml:space="preserve"> HYPERLINK \l _Toc4104 </w:instrText>
          </w:r>
          <w:r>
            <w:rPr>
              <w:bCs/>
            </w:rPr>
            <w:fldChar w:fldCharType="separate"/>
          </w:r>
          <w:r>
            <w:rPr>
              <w:rFonts w:hint="eastAsia" w:ascii="Times New Roman" w:hAnsi="Times New Roman" w:eastAsia="楷体"/>
              <w:szCs w:val="30"/>
            </w:rPr>
            <w:t>[金融]</w:t>
          </w:r>
          <w:r>
            <w:rPr>
              <w:bCs/>
            </w:rPr>
            <w:fldChar w:fldCharType="end"/>
          </w:r>
        </w:p>
        <w:p>
          <w:pPr>
            <w:pStyle w:val="74"/>
            <w:tabs>
              <w:tab w:val="right" w:leader="dot" w:pos="8306"/>
            </w:tabs>
          </w:pPr>
          <w:r>
            <w:rPr>
              <w:bCs/>
            </w:rPr>
            <w:fldChar w:fldCharType="begin"/>
          </w:r>
          <w:r>
            <w:rPr>
              <w:bCs/>
            </w:rPr>
            <w:instrText xml:space="preserve"> HYPERLINK \l _Toc14713 </w:instrText>
          </w:r>
          <w:r>
            <w:rPr>
              <w:bCs/>
            </w:rPr>
            <w:fldChar w:fldCharType="separate"/>
          </w:r>
          <w:r>
            <w:rPr>
              <w:rFonts w:hint="eastAsia" w:ascii="Times New Roman" w:hAnsi="Times New Roman" w:eastAsia="楷体"/>
              <w:szCs w:val="24"/>
            </w:rPr>
            <w:t>股指：部分仓位逢高止盈，待调整后入场</w:t>
          </w:r>
          <w:r>
            <w:rPr>
              <w:bCs/>
            </w:rPr>
            <w:fldChar w:fldCharType="end"/>
          </w:r>
        </w:p>
        <w:p>
          <w:pPr>
            <w:pStyle w:val="59"/>
            <w:tabs>
              <w:tab w:val="right" w:leader="dot" w:pos="8306"/>
            </w:tabs>
          </w:pPr>
          <w:r>
            <w:rPr>
              <w:bCs/>
            </w:rPr>
            <w:fldChar w:fldCharType="begin"/>
          </w:r>
          <w:r>
            <w:rPr>
              <w:bCs/>
            </w:rPr>
            <w:instrText xml:space="preserve"> HYPERLINK \l _Toc15413 </w:instrText>
          </w:r>
          <w:r>
            <w:rPr>
              <w:bCs/>
            </w:rPr>
            <w:fldChar w:fldCharType="separate"/>
          </w:r>
          <w:r>
            <w:rPr>
              <w:rFonts w:hint="eastAsia" w:ascii="Times New Roman" w:hAnsi="Times New Roman" w:eastAsia="楷体"/>
              <w:szCs w:val="30"/>
            </w:rPr>
            <w:t>[贵金属]</w:t>
          </w:r>
          <w:r>
            <w:rPr>
              <w:bCs/>
            </w:rPr>
            <w:fldChar w:fldCharType="end"/>
          </w:r>
        </w:p>
        <w:p>
          <w:pPr>
            <w:pStyle w:val="74"/>
            <w:tabs>
              <w:tab w:val="right" w:leader="dot" w:pos="8306"/>
            </w:tabs>
          </w:pPr>
          <w:r>
            <w:rPr>
              <w:bCs/>
            </w:rPr>
            <w:fldChar w:fldCharType="begin"/>
          </w:r>
          <w:r>
            <w:rPr>
              <w:bCs/>
            </w:rPr>
            <w:instrText xml:space="preserve"> HYPERLINK \l _Toc18371 </w:instrText>
          </w:r>
          <w:r>
            <w:rPr>
              <w:bCs/>
            </w:rPr>
            <w:fldChar w:fldCharType="separate"/>
          </w:r>
          <w:r>
            <w:rPr>
              <w:rFonts w:hint="eastAsia" w:ascii="Times New Roman" w:hAnsi="Times New Roman" w:eastAsia="楷体"/>
              <w:szCs w:val="24"/>
            </w:rPr>
            <w:t>贵金属：CME黄金波动率上行，贵金属价格上涨</w:t>
          </w:r>
          <w:r>
            <w:rPr>
              <w:bCs/>
            </w:rPr>
            <w:fldChar w:fldCharType="end"/>
          </w:r>
        </w:p>
        <w:p>
          <w:pPr>
            <w:pStyle w:val="59"/>
            <w:tabs>
              <w:tab w:val="right" w:leader="dot" w:pos="8306"/>
            </w:tabs>
          </w:pPr>
          <w:r>
            <w:rPr>
              <w:bCs/>
            </w:rPr>
            <w:fldChar w:fldCharType="begin"/>
          </w:r>
          <w:r>
            <w:rPr>
              <w:bCs/>
            </w:rPr>
            <w:instrText xml:space="preserve"> HYPERLINK \l _Toc30470 </w:instrText>
          </w:r>
          <w:r>
            <w:rPr>
              <w:bCs/>
            </w:rPr>
            <w:fldChar w:fldCharType="separate"/>
          </w:r>
          <w:r>
            <w:rPr>
              <w:rFonts w:hint="eastAsia" w:ascii="Times New Roman" w:hAnsi="Times New Roman" w:eastAsia="楷体"/>
              <w:szCs w:val="30"/>
            </w:rPr>
            <w:t>[金属]</w:t>
          </w:r>
          <w:r>
            <w:rPr>
              <w:bCs/>
            </w:rPr>
            <w:fldChar w:fldCharType="end"/>
          </w:r>
        </w:p>
        <w:p>
          <w:pPr>
            <w:pStyle w:val="74"/>
            <w:tabs>
              <w:tab w:val="right" w:leader="dot" w:pos="8306"/>
            </w:tabs>
          </w:pPr>
          <w:r>
            <w:rPr>
              <w:bCs/>
            </w:rPr>
            <w:fldChar w:fldCharType="begin"/>
          </w:r>
          <w:r>
            <w:rPr>
              <w:bCs/>
            </w:rPr>
            <w:instrText xml:space="preserve"> HYPERLINK \l _Toc3051 </w:instrText>
          </w:r>
          <w:r>
            <w:rPr>
              <w:bCs/>
            </w:rPr>
            <w:fldChar w:fldCharType="separate"/>
          </w:r>
          <w:r>
            <w:rPr>
              <w:rFonts w:hint="eastAsia" w:ascii="楷体" w:hAnsi="楷体" w:eastAsia="楷体"/>
              <w:szCs w:val="24"/>
            </w:rPr>
            <w:t>碳酸锂：现货价格小幅上涨，期价大幅回调</w:t>
          </w:r>
          <w:r>
            <w:rPr>
              <w:bCs/>
            </w:rPr>
            <w:fldChar w:fldCharType="end"/>
          </w:r>
        </w:p>
        <w:p>
          <w:pPr>
            <w:pStyle w:val="74"/>
            <w:tabs>
              <w:tab w:val="right" w:leader="dot" w:pos="8306"/>
            </w:tabs>
          </w:pPr>
          <w:r>
            <w:rPr>
              <w:bCs/>
            </w:rPr>
            <w:fldChar w:fldCharType="begin"/>
          </w:r>
          <w:r>
            <w:rPr>
              <w:bCs/>
            </w:rPr>
            <w:instrText xml:space="preserve"> HYPERLINK \l _Toc23523 </w:instrText>
          </w:r>
          <w:r>
            <w:rPr>
              <w:bCs/>
            </w:rPr>
            <w:fldChar w:fldCharType="separate"/>
          </w:r>
          <w:r>
            <w:rPr>
              <w:rFonts w:hint="eastAsia" w:ascii="楷体" w:hAnsi="楷体" w:eastAsia="楷体"/>
              <w:szCs w:val="24"/>
            </w:rPr>
            <w:t>铜：需求仍待进一步验证，短期价格震荡为主</w:t>
          </w:r>
          <w:r>
            <w:rPr>
              <w:bCs/>
            </w:rPr>
            <w:fldChar w:fldCharType="end"/>
          </w:r>
        </w:p>
        <w:p>
          <w:pPr>
            <w:pStyle w:val="74"/>
            <w:tabs>
              <w:tab w:val="right" w:leader="dot" w:pos="8306"/>
            </w:tabs>
          </w:pPr>
          <w:r>
            <w:rPr>
              <w:bCs/>
            </w:rPr>
            <w:fldChar w:fldCharType="begin"/>
          </w:r>
          <w:r>
            <w:rPr>
              <w:bCs/>
            </w:rPr>
            <w:instrText xml:space="preserve"> HYPERLINK \l _Toc7159 </w:instrText>
          </w:r>
          <w:r>
            <w:rPr>
              <w:bCs/>
            </w:rPr>
            <w:fldChar w:fldCharType="separate"/>
          </w:r>
          <w:r>
            <w:rPr>
              <w:rFonts w:hint="eastAsia" w:ascii="楷体" w:hAnsi="楷体" w:eastAsia="楷体"/>
              <w:szCs w:val="24"/>
            </w:rPr>
            <w:t>铝：铝价区间偏强震荡运行</w:t>
          </w:r>
          <w:r>
            <w:rPr>
              <w:bCs/>
            </w:rPr>
            <w:fldChar w:fldCharType="end"/>
          </w:r>
        </w:p>
        <w:p>
          <w:pPr>
            <w:pStyle w:val="74"/>
            <w:tabs>
              <w:tab w:val="right" w:leader="dot" w:pos="8306"/>
            </w:tabs>
          </w:pPr>
          <w:r>
            <w:rPr>
              <w:bCs/>
            </w:rPr>
            <w:fldChar w:fldCharType="begin"/>
          </w:r>
          <w:r>
            <w:rPr>
              <w:bCs/>
            </w:rPr>
            <w:instrText xml:space="preserve"> HYPERLINK \l _Toc30707 </w:instrText>
          </w:r>
          <w:r>
            <w:rPr>
              <w:bCs/>
            </w:rPr>
            <w:fldChar w:fldCharType="separate"/>
          </w:r>
          <w:r>
            <w:rPr>
              <w:rFonts w:hint="eastAsia" w:ascii="楷体" w:hAnsi="楷体" w:eastAsia="楷体"/>
              <w:szCs w:val="24"/>
            </w:rPr>
            <w:t>锌：锌价偏强运行</w:t>
          </w:r>
          <w:r>
            <w:rPr>
              <w:bCs/>
            </w:rPr>
            <w:fldChar w:fldCharType="end"/>
          </w:r>
        </w:p>
        <w:p>
          <w:pPr>
            <w:pStyle w:val="74"/>
            <w:tabs>
              <w:tab w:val="right" w:leader="dot" w:pos="8306"/>
            </w:tabs>
          </w:pPr>
          <w:r>
            <w:rPr>
              <w:bCs/>
            </w:rPr>
            <w:fldChar w:fldCharType="begin"/>
          </w:r>
          <w:r>
            <w:rPr>
              <w:bCs/>
            </w:rPr>
            <w:instrText xml:space="preserve"> HYPERLINK \l _Toc19143 </w:instrText>
          </w:r>
          <w:r>
            <w:rPr>
              <w:bCs/>
            </w:rPr>
            <w:fldChar w:fldCharType="separate"/>
          </w:r>
          <w:r>
            <w:rPr>
              <w:rFonts w:hint="eastAsia" w:ascii="楷体" w:hAnsi="楷体" w:eastAsia="楷体"/>
              <w:szCs w:val="24"/>
            </w:rPr>
            <w:t>镍：印尼镍矿供应不确定性缓解，镍价存回落风险</w:t>
          </w:r>
          <w:r>
            <w:rPr>
              <w:bCs/>
            </w:rPr>
            <w:fldChar w:fldCharType="end"/>
          </w:r>
        </w:p>
        <w:p>
          <w:pPr>
            <w:pStyle w:val="74"/>
            <w:tabs>
              <w:tab w:val="right" w:leader="dot" w:pos="8306"/>
            </w:tabs>
          </w:pPr>
          <w:r>
            <w:rPr>
              <w:bCs/>
            </w:rPr>
            <w:fldChar w:fldCharType="begin"/>
          </w:r>
          <w:r>
            <w:rPr>
              <w:bCs/>
            </w:rPr>
            <w:instrText xml:space="preserve"> HYPERLINK \l _Toc11172 </w:instrText>
          </w:r>
          <w:r>
            <w:rPr>
              <w:bCs/>
            </w:rPr>
            <w:fldChar w:fldCharType="separate"/>
          </w:r>
          <w:r>
            <w:rPr>
              <w:rFonts w:hint="eastAsia" w:ascii="楷体" w:hAnsi="楷体" w:eastAsia="楷体"/>
              <w:szCs w:val="24"/>
            </w:rPr>
            <w:t>不锈钢：下游需求偏淡，预计价格偏弱震荡</w:t>
          </w:r>
          <w:r>
            <w:rPr>
              <w:bCs/>
            </w:rPr>
            <w:fldChar w:fldCharType="end"/>
          </w:r>
        </w:p>
        <w:p>
          <w:pPr>
            <w:pStyle w:val="74"/>
            <w:tabs>
              <w:tab w:val="right" w:leader="dot" w:pos="8306"/>
            </w:tabs>
          </w:pPr>
          <w:r>
            <w:rPr>
              <w:bCs/>
            </w:rPr>
            <w:fldChar w:fldCharType="begin"/>
          </w:r>
          <w:r>
            <w:rPr>
              <w:bCs/>
            </w:rPr>
            <w:instrText xml:space="preserve"> HYPERLINK \l _Toc5107 </w:instrText>
          </w:r>
          <w:r>
            <w:rPr>
              <w:bCs/>
            </w:rPr>
            <w:fldChar w:fldCharType="separate"/>
          </w:r>
          <w:r>
            <w:rPr>
              <w:rFonts w:hint="eastAsia" w:ascii="楷体" w:hAnsi="楷体" w:eastAsia="楷体"/>
              <w:szCs w:val="24"/>
            </w:rPr>
            <w:t>工业硅：供需双增预期，短期或维持震荡运行</w:t>
          </w:r>
          <w:r>
            <w:rPr>
              <w:bCs/>
            </w:rPr>
            <w:fldChar w:fldCharType="end"/>
          </w:r>
        </w:p>
        <w:p>
          <w:pPr>
            <w:pStyle w:val="59"/>
            <w:tabs>
              <w:tab w:val="right" w:leader="dot" w:pos="8306"/>
            </w:tabs>
          </w:pPr>
          <w:r>
            <w:rPr>
              <w:bCs/>
            </w:rPr>
            <w:fldChar w:fldCharType="begin"/>
          </w:r>
          <w:r>
            <w:rPr>
              <w:bCs/>
            </w:rPr>
            <w:instrText xml:space="preserve"> HYPERLINK \l _Toc13701 </w:instrText>
          </w:r>
          <w:r>
            <w:rPr>
              <w:bCs/>
            </w:rPr>
            <w:fldChar w:fldCharType="separate"/>
          </w:r>
          <w:r>
            <w:rPr>
              <w:rFonts w:hint="eastAsia" w:ascii="Times New Roman" w:hAnsi="Times New Roman" w:eastAsia="楷体"/>
              <w:szCs w:val="30"/>
            </w:rPr>
            <w:t>[化工]</w:t>
          </w:r>
          <w:r>
            <w:rPr>
              <w:bCs/>
            </w:rPr>
            <w:fldChar w:fldCharType="end"/>
          </w:r>
        </w:p>
        <w:p>
          <w:pPr>
            <w:pStyle w:val="74"/>
            <w:tabs>
              <w:tab w:val="right" w:leader="dot" w:pos="8306"/>
            </w:tabs>
          </w:pPr>
          <w:r>
            <w:rPr>
              <w:bCs/>
            </w:rPr>
            <w:fldChar w:fldCharType="begin"/>
          </w:r>
          <w:r>
            <w:rPr>
              <w:bCs/>
            </w:rPr>
            <w:instrText xml:space="preserve"> HYPERLINK \l _Toc4028 </w:instrText>
          </w:r>
          <w:r>
            <w:rPr>
              <w:bCs/>
            </w:rPr>
            <w:fldChar w:fldCharType="separate"/>
          </w:r>
          <w:r>
            <w:rPr>
              <w:rFonts w:hint="eastAsia" w:ascii="Times New Roman" w:hAnsi="Times New Roman" w:eastAsia="楷体"/>
              <w:szCs w:val="24"/>
            </w:rPr>
            <w:t>天然橡胶:</w:t>
          </w:r>
          <w:r>
            <w:rPr>
              <w:rFonts w:hint="eastAsia" w:ascii="Times New Roman" w:hAnsi="Times New Roman" w:eastAsia="楷体"/>
              <w:szCs w:val="24"/>
              <w:lang w:val="en-US" w:eastAsia="zh-CN"/>
            </w:rPr>
            <w:t xml:space="preserve"> </w:t>
          </w:r>
          <w:r>
            <w:rPr>
              <w:rFonts w:hint="eastAsia" w:ascii="楷体" w:hAnsi="楷体" w:eastAsia="楷体"/>
              <w:szCs w:val="24"/>
            </w:rPr>
            <w:t>轮胎厂高开工与港口高库存并存 胶价上方压力较大</w:t>
          </w:r>
          <w:r>
            <w:rPr>
              <w:bCs/>
            </w:rPr>
            <w:fldChar w:fldCharType="end"/>
          </w:r>
        </w:p>
        <w:p>
          <w:pPr>
            <w:pStyle w:val="74"/>
            <w:tabs>
              <w:tab w:val="right" w:leader="dot" w:pos="8306"/>
            </w:tabs>
          </w:pPr>
          <w:r>
            <w:rPr>
              <w:bCs/>
            </w:rPr>
            <w:fldChar w:fldCharType="begin"/>
          </w:r>
          <w:r>
            <w:rPr>
              <w:bCs/>
            </w:rPr>
            <w:instrText xml:space="preserve"> HYPERLINK \l _Toc6399 </w:instrText>
          </w:r>
          <w:r>
            <w:rPr>
              <w:bCs/>
            </w:rPr>
            <w:fldChar w:fldCharType="separate"/>
          </w:r>
          <w:r>
            <w:rPr>
              <w:rFonts w:hint="eastAsia" w:ascii="楷体" w:hAnsi="楷体" w:eastAsia="楷体"/>
              <w:szCs w:val="24"/>
            </w:rPr>
            <w:t>聚烯烃：市场多空因素交织，L整体强于PP</w:t>
          </w:r>
          <w:r>
            <w:rPr>
              <w:bCs/>
            </w:rPr>
            <w:fldChar w:fldCharType="end"/>
          </w:r>
        </w:p>
        <w:p>
          <w:pPr>
            <w:pStyle w:val="74"/>
            <w:tabs>
              <w:tab w:val="right" w:leader="dot" w:pos="8306"/>
            </w:tabs>
          </w:pPr>
          <w:r>
            <w:rPr>
              <w:bCs/>
            </w:rPr>
            <w:fldChar w:fldCharType="begin"/>
          </w:r>
          <w:r>
            <w:rPr>
              <w:bCs/>
            </w:rPr>
            <w:instrText xml:space="preserve"> HYPERLINK \l _Toc30576 </w:instrText>
          </w:r>
          <w:r>
            <w:rPr>
              <w:bCs/>
            </w:rPr>
            <w:fldChar w:fldCharType="separate"/>
          </w:r>
          <w:r>
            <w:rPr>
              <w:rFonts w:hint="eastAsia" w:ascii="楷体" w:hAnsi="楷体" w:eastAsia="楷体"/>
              <w:szCs w:val="24"/>
            </w:rPr>
            <w:t>玻璃：现货价格持续下跌，基差修复</w:t>
          </w:r>
          <w:r>
            <w:rPr>
              <w:bCs/>
            </w:rPr>
            <w:fldChar w:fldCharType="end"/>
          </w:r>
        </w:p>
        <w:p>
          <w:pPr>
            <w:pStyle w:val="74"/>
            <w:tabs>
              <w:tab w:val="right" w:leader="dot" w:pos="8306"/>
            </w:tabs>
          </w:pPr>
          <w:r>
            <w:rPr>
              <w:bCs/>
            </w:rPr>
            <w:fldChar w:fldCharType="begin"/>
          </w:r>
          <w:r>
            <w:rPr>
              <w:bCs/>
            </w:rPr>
            <w:instrText xml:space="preserve"> HYPERLINK \l _Toc26531 </w:instrText>
          </w:r>
          <w:r>
            <w:rPr>
              <w:bCs/>
            </w:rPr>
            <w:fldChar w:fldCharType="separate"/>
          </w:r>
          <w:r>
            <w:rPr>
              <w:rFonts w:hint="eastAsia" w:ascii="楷体" w:hAnsi="楷体" w:eastAsia="楷体"/>
              <w:szCs w:val="24"/>
            </w:rPr>
            <w:t>纯碱：市场再度炒作封单，中期供给过剩趋势未改</w:t>
          </w:r>
          <w:r>
            <w:rPr>
              <w:bCs/>
            </w:rPr>
            <w:fldChar w:fldCharType="end"/>
          </w:r>
        </w:p>
        <w:p>
          <w:pPr>
            <w:pStyle w:val="59"/>
            <w:tabs>
              <w:tab w:val="right" w:leader="dot" w:pos="8306"/>
            </w:tabs>
          </w:pPr>
          <w:r>
            <w:rPr>
              <w:bCs/>
            </w:rPr>
            <w:fldChar w:fldCharType="begin"/>
          </w:r>
          <w:r>
            <w:rPr>
              <w:bCs/>
            </w:rPr>
            <w:instrText xml:space="preserve"> HYPERLINK \l _Toc17895 </w:instrText>
          </w:r>
          <w:r>
            <w:rPr>
              <w:bCs/>
            </w:rPr>
            <w:fldChar w:fldCharType="separate"/>
          </w:r>
          <w:r>
            <w:rPr>
              <w:rFonts w:hint="eastAsia" w:ascii="Times New Roman" w:hAnsi="Times New Roman" w:eastAsia="楷体"/>
              <w:szCs w:val="30"/>
            </w:rPr>
            <w:t>[农产品]</w:t>
          </w:r>
          <w:r>
            <w:rPr>
              <w:bCs/>
            </w:rPr>
            <w:fldChar w:fldCharType="end"/>
          </w:r>
        </w:p>
        <w:p>
          <w:pPr>
            <w:pStyle w:val="74"/>
            <w:tabs>
              <w:tab w:val="right" w:leader="dot" w:pos="8306"/>
            </w:tabs>
          </w:pPr>
          <w:r>
            <w:rPr>
              <w:bCs/>
            </w:rPr>
            <w:fldChar w:fldCharType="begin"/>
          </w:r>
          <w:r>
            <w:rPr>
              <w:bCs/>
            </w:rPr>
            <w:instrText xml:space="preserve"> HYPERLINK \l _Toc27183 </w:instrText>
          </w:r>
          <w:r>
            <w:rPr>
              <w:bCs/>
            </w:rPr>
            <w:fldChar w:fldCharType="separate"/>
          </w:r>
          <w:r>
            <w:rPr>
              <w:rFonts w:hint="eastAsia" w:ascii="楷体" w:hAnsi="楷体" w:eastAsia="楷体"/>
              <w:bCs/>
            </w:rPr>
            <w:t>玉米与淀粉：</w:t>
          </w:r>
          <w:r>
            <w:rPr>
              <w:rFonts w:hint="eastAsia" w:ascii="楷体" w:hAnsi="楷体" w:eastAsia="楷体"/>
            </w:rPr>
            <w:t>期价弱势调整等待现货</w:t>
          </w:r>
          <w:r>
            <w:rPr>
              <w:bCs/>
            </w:rPr>
            <w:fldChar w:fldCharType="end"/>
          </w:r>
        </w:p>
        <w:p>
          <w:pPr>
            <w:pStyle w:val="74"/>
            <w:tabs>
              <w:tab w:val="right" w:leader="dot" w:pos="8306"/>
            </w:tabs>
          </w:pPr>
          <w:r>
            <w:rPr>
              <w:bCs/>
            </w:rPr>
            <w:fldChar w:fldCharType="begin"/>
          </w:r>
          <w:r>
            <w:rPr>
              <w:bCs/>
            </w:rPr>
            <w:instrText xml:space="preserve"> HYPERLINK \l _Toc7438 </w:instrText>
          </w:r>
          <w:r>
            <w:rPr>
              <w:bCs/>
            </w:rPr>
            <w:fldChar w:fldCharType="separate"/>
          </w:r>
          <w:r>
            <w:rPr>
              <w:rFonts w:hint="eastAsia" w:ascii="楷体" w:hAnsi="楷体" w:eastAsia="楷体"/>
              <w:bCs/>
            </w:rPr>
            <w:t>畜禽养殖：鸡蛋现货带动期价偏强震荡</w:t>
          </w:r>
          <w:r>
            <w:rPr>
              <w:bCs/>
            </w:rPr>
            <w:fldChar w:fldCharType="end"/>
          </w:r>
        </w:p>
        <w:p>
          <w:pPr>
            <w:pStyle w:val="59"/>
            <w:tabs>
              <w:tab w:val="right" w:leader="dot" w:pos="8306"/>
            </w:tabs>
          </w:pPr>
          <w:r>
            <w:rPr>
              <w:bCs/>
            </w:rPr>
            <w:fldChar w:fldCharType="begin"/>
          </w:r>
          <w:r>
            <w:rPr>
              <w:bCs/>
            </w:rPr>
            <w:instrText xml:space="preserve"> HYPERLINK \l _Toc20088 </w:instrText>
          </w:r>
          <w:r>
            <w:rPr>
              <w:bCs/>
            </w:rPr>
            <w:fldChar w:fldCharType="separate"/>
          </w:r>
          <w:r>
            <w:rPr>
              <w:rFonts w:hint="eastAsia" w:ascii="Times New Roman" w:hAnsi="Times New Roman" w:eastAsia="楷体"/>
              <w:szCs w:val="30"/>
            </w:rPr>
            <w:t>[指数]</w:t>
          </w:r>
          <w:r>
            <w:rPr>
              <w:bCs/>
            </w:rPr>
            <w:fldChar w:fldCharType="end"/>
          </w:r>
        </w:p>
        <w:p>
          <w:pPr>
            <w:pStyle w:val="74"/>
            <w:tabs>
              <w:tab w:val="right" w:leader="dot" w:pos="8306"/>
            </w:tabs>
          </w:pPr>
          <w:r>
            <w:rPr>
              <w:bCs/>
            </w:rPr>
            <w:fldChar w:fldCharType="begin"/>
          </w:r>
          <w:r>
            <w:rPr>
              <w:bCs/>
            </w:rPr>
            <w:instrText xml:space="preserve"> HYPERLINK \l _Toc8343 </w:instrText>
          </w:r>
          <w:r>
            <w:rPr>
              <w:bCs/>
            </w:rPr>
            <w:fldChar w:fldCharType="separate"/>
          </w:r>
          <w:r>
            <w:rPr>
              <w:rFonts w:hint="eastAsia" w:ascii="Times New Roman" w:hAnsi="Times New Roman" w:eastAsia="楷体"/>
              <w:szCs w:val="24"/>
            </w:rPr>
            <w:t>集运指数（欧线）：现货价格逐步回落，基差进入收敛通道</w:t>
          </w:r>
          <w:r>
            <w:rPr>
              <w:bCs/>
            </w:rPr>
            <w:fldChar w:fldCharType="end"/>
          </w:r>
        </w:p>
        <w:p>
          <w:pPr>
            <w:pStyle w:val="59"/>
            <w:tabs>
              <w:tab w:val="right" w:leader="dot" w:pos="8296"/>
            </w:tabs>
            <w:rPr>
              <w:rFonts w:eastAsiaTheme="minorEastAsia"/>
              <w:szCs w:val="22"/>
            </w:rPr>
          </w:pPr>
          <w:r>
            <w:rPr>
              <w:bCs/>
            </w:rPr>
            <w:fldChar w:fldCharType="end"/>
          </w:r>
        </w:p>
      </w:sdtContent>
    </w:sdt>
    <w:p>
      <w:pPr>
        <w:jc w:val="center"/>
        <w:rPr>
          <w:rFonts w:ascii="Times New Roman" w:hAnsi="Times New Roman" w:eastAsia="楷体" w:cs="Times New Roman"/>
          <w:color w:val="823C0B"/>
        </w:rPr>
        <w:sectPr>
          <w:headerReference r:id="rId4" w:type="first"/>
          <w:headerReference r:id="rId3" w:type="default"/>
          <w:footerReference r:id="rId5" w:type="default"/>
          <w:pgSz w:w="11906" w:h="16838"/>
          <w:pgMar w:top="1440" w:right="1800" w:bottom="1440" w:left="1800" w:header="850" w:footer="1077" w:gutter="0"/>
          <w:cols w:space="425" w:num="1"/>
          <w:titlePg/>
          <w:docGrid w:type="lines" w:linePitch="312" w:charSpace="0"/>
        </w:sectPr>
      </w:pPr>
      <w:r>
        <w:rPr>
          <w:rFonts w:hint="eastAsia" w:ascii="Times New Roman" w:hAnsi="Times New Roman" w:eastAsia="楷体" w:cs="Times New Roman"/>
          <w:color w:val="823C0B"/>
        </w:rPr>
        <w:t>本文观点、结论和建议等仅供参考，并不构成操作依据！请阅读文末免责声明。</w:t>
      </w:r>
    </w:p>
    <w:p>
      <w:pPr>
        <w:rPr>
          <w:rFonts w:ascii="Times New Roman" w:hAnsi="Times New Roman" w:eastAsia="楷体" w:cs="Times New Roman"/>
          <w:b/>
          <w:color w:val="823C0B"/>
          <w:sz w:val="24"/>
        </w:rPr>
      </w:pPr>
    </w:p>
    <w:p>
      <w:pPr>
        <w:jc w:val="center"/>
        <w:rPr>
          <w:rFonts w:ascii="Times New Roman" w:hAnsi="Times New Roman" w:eastAsia="楷体"/>
          <w:b/>
          <w:color w:val="823C0B"/>
          <w:sz w:val="30"/>
          <w:szCs w:val="30"/>
        </w:rPr>
      </w:pPr>
      <w:r>
        <w:rPr>
          <w:rFonts w:hint="eastAsia" w:ascii="Times New Roman" w:hAnsi="Times New Roman" w:eastAsia="楷体"/>
          <w:b/>
          <w:color w:val="823C0B"/>
          <w:sz w:val="30"/>
          <w:szCs w:val="30"/>
        </w:rPr>
        <w:t>本日早评</w:t>
      </w:r>
    </w:p>
    <w:p>
      <w:pPr>
        <w:pBdr>
          <w:top w:val="single" w:color="auto" w:sz="4" w:space="0"/>
        </w:pBdr>
        <w:outlineLvl w:val="0"/>
        <w:rPr>
          <w:rFonts w:ascii="Times New Roman" w:hAnsi="Times New Roman" w:eastAsia="楷体"/>
          <w:b/>
          <w:color w:val="823C0B"/>
        </w:rPr>
      </w:pPr>
      <w:bookmarkStart w:id="1" w:name="_Toc18033"/>
      <w:bookmarkStart w:id="2" w:name="_Toc19317"/>
      <w:bookmarkStart w:id="3" w:name="_Toc4104"/>
      <w:bookmarkStart w:id="4" w:name="金融"/>
      <w:r>
        <w:rPr>
          <w:rFonts w:hint="eastAsia" w:ascii="Times New Roman" w:hAnsi="Times New Roman" w:eastAsia="楷体"/>
          <w:b/>
          <w:color w:val="823C0B"/>
          <w:sz w:val="30"/>
          <w:szCs w:val="30"/>
        </w:rPr>
        <w:t>[金融]</w:t>
      </w:r>
      <w:bookmarkEnd w:id="1"/>
      <w:bookmarkEnd w:id="2"/>
      <w:bookmarkEnd w:id="3"/>
    </w:p>
    <w:bookmarkEnd w:id="4"/>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5" w:name="_Toc965"/>
      <w:bookmarkStart w:id="6" w:name="_Toc16295"/>
      <w:bookmarkStart w:id="7" w:name="_Toc14713"/>
      <w:r>
        <w:rPr>
          <w:rFonts w:hint="eastAsia" w:ascii="Times New Roman" w:hAnsi="Times New Roman" w:eastAsia="楷体"/>
          <w:b/>
          <w:color w:val="000000" w:themeColor="text1"/>
          <w:sz w:val="24"/>
          <w:szCs w:val="24"/>
          <w14:textFill>
            <w14:solidFill>
              <w14:schemeClr w14:val="tx1"/>
            </w14:solidFill>
          </w14:textFill>
        </w:rPr>
        <w:t>股指：</w:t>
      </w:r>
      <w:bookmarkEnd w:id="5"/>
      <w:bookmarkEnd w:id="6"/>
      <w:r>
        <w:rPr>
          <w:rFonts w:hint="eastAsia" w:ascii="Times New Roman" w:hAnsi="Times New Roman" w:eastAsia="楷体"/>
          <w:b/>
          <w:color w:val="000000" w:themeColor="text1"/>
          <w:sz w:val="24"/>
          <w:szCs w:val="24"/>
          <w14:textFill>
            <w14:solidFill>
              <w14:schemeClr w14:val="tx1"/>
            </w14:solidFill>
          </w14:textFill>
        </w:rPr>
        <w:t>部分仓位逢高止盈，待调整后入场</w:t>
      </w:r>
      <w:bookmarkEnd w:id="7"/>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2024年政府工作报告对今年经济增速目标的设定为5%左右，与市场预期较为一致，宏观政策层面上亦呈现总体偏宽松的基调，政策引导力度料或明显增强。财政方面，赤字率设定较为克制，按3%安排，明确超长期特别国债后续几年会常态化发行，先发行1万亿元，拟安排地方政府转向债3.9万亿元，预计广义赤字率有望回升， “过紧日子”将会逐步制度化、长期化，财税金融资源将会进一步向新质生产力领域倾斜。</w:t>
      </w:r>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回到市场，自底部这轮反弹以来，市场风险偏好已经明显修复，但多空分歧明显增大。若指数级别的贝塔行情继续，仍需基本面的进一步催化。随着重要会议议程结束，政策将持续保持较强定力，关注3月份及二季度的经济数据及其对全年经济复苏预期的影响。短线建议获利盘可逢高止盈，待调整后入场。</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rPr>
      </w:pPr>
      <w:bookmarkStart w:id="8" w:name="_Toc15413"/>
      <w:r>
        <w:rPr>
          <w:rFonts w:hint="eastAsia" w:ascii="Times New Roman" w:hAnsi="Times New Roman" w:eastAsia="楷体"/>
          <w:b/>
          <w:color w:val="823C0B"/>
          <w:sz w:val="30"/>
          <w:szCs w:val="30"/>
        </w:rPr>
        <w:t>[贵金属]</w:t>
      </w:r>
      <w:bookmarkEnd w:id="8"/>
    </w:p>
    <w:p>
      <w:pPr>
        <w:ind w:left="420" w:leftChars="200"/>
        <w:outlineLvl w:val="1"/>
        <w:rPr>
          <w:rFonts w:hint="eastAsia" w:ascii="Times New Roman" w:hAnsi="Times New Roman" w:eastAsia="楷体"/>
          <w:b/>
          <w:color w:val="000000" w:themeColor="text1"/>
          <w:sz w:val="24"/>
          <w:szCs w:val="24"/>
          <w14:textFill>
            <w14:solidFill>
              <w14:schemeClr w14:val="tx1"/>
            </w14:solidFill>
          </w14:textFill>
        </w:rPr>
      </w:pPr>
      <w:bookmarkStart w:id="9" w:name="_Toc18371"/>
      <w:r>
        <w:rPr>
          <w:rFonts w:hint="eastAsia" w:ascii="Times New Roman" w:hAnsi="Times New Roman" w:eastAsia="楷体"/>
          <w:b/>
          <w:color w:val="000000" w:themeColor="text1"/>
          <w:sz w:val="24"/>
          <w:szCs w:val="24"/>
          <w14:textFill>
            <w14:solidFill>
              <w14:schemeClr w14:val="tx1"/>
            </w14:solidFill>
          </w14:textFill>
        </w:rPr>
        <w:t>贵金属：CME黄金波动率上行，贵金属价格上涨</w:t>
      </w:r>
      <w:bookmarkEnd w:id="9"/>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近期美国经济数据走弱令海外降息预期升温，贵金属价格上涨。沪金涨0.89%，沪银涨0.61%。CME黄金波动率涨2.14%至14.51。欧元区3月Sentix投资者信心指数录得-10.5，前值-12.9。美国2月ISM非制造业指数放缓至52.6，不及预期的53，前值为53.4。美国2月ISM制造业PMI低于预期，美国2月ISM制造业指数下降至47.8，低于预期的49.5，1月前值49.1。欧元区1月PPI同比下降8.6%，环比降幅为0.9%，均超出预期。美联储博斯蒂克表示，通胀有望缓慢回归2%目标，但宣布胜利为时尚早；降息存在释放新需求并加剧通胀的风险；预计首次降息之后将按下暂停键，以进行评估；希望缩表步伐能够尽可能长久地维持。关注周五美国非农就业人数、失业率等就业数据更新，经济数据表现偏弱，降息预期升温，贵金属价格或偏强运行。</w:t>
      </w:r>
    </w:p>
    <w:p>
      <w:pPr>
        <w:ind w:left="630" w:leftChars="300"/>
        <w:rPr>
          <w:rFonts w:hint="eastAsia" w:ascii="Times New Roman" w:hAnsi="Times New Roman" w:eastAsia="楷体"/>
          <w:color w:val="000000" w:themeColor="text1"/>
          <w:sz w:val="24"/>
          <w:szCs w:val="24"/>
          <w14:textFill>
            <w14:solidFill>
              <w14:schemeClr w14:val="tx1"/>
            </w14:solidFill>
          </w14:textFill>
        </w:rPr>
      </w:pPr>
    </w:p>
    <w:p>
      <w:pPr>
        <w:pBdr>
          <w:top w:val="single" w:color="auto" w:sz="4" w:space="0"/>
        </w:pBdr>
        <w:outlineLvl w:val="0"/>
        <w:rPr>
          <w:rFonts w:ascii="Times New Roman" w:hAnsi="Times New Roman" w:eastAsia="楷体"/>
          <w:b/>
          <w:color w:val="823C0B"/>
          <w:sz w:val="30"/>
          <w:szCs w:val="30"/>
        </w:rPr>
      </w:pPr>
      <w:bookmarkStart w:id="10" w:name="_Toc3096"/>
      <w:bookmarkStart w:id="11" w:name="金属"/>
      <w:bookmarkStart w:id="12" w:name="_Toc20891"/>
      <w:bookmarkStart w:id="13" w:name="_Toc30470"/>
      <w:bookmarkStart w:id="14" w:name="农产品"/>
      <w:r>
        <w:rPr>
          <w:rFonts w:hint="eastAsia" w:ascii="Times New Roman" w:hAnsi="Times New Roman" w:eastAsia="楷体"/>
          <w:b/>
          <w:color w:val="823C0B"/>
          <w:sz w:val="30"/>
          <w:szCs w:val="30"/>
        </w:rPr>
        <w:t>[金属]</w:t>
      </w:r>
      <w:bookmarkEnd w:id="10"/>
      <w:bookmarkEnd w:id="11"/>
      <w:bookmarkEnd w:id="12"/>
      <w:bookmarkEnd w:id="13"/>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15" w:name="_Toc3051"/>
      <w:bookmarkStart w:id="16" w:name="_Toc27831"/>
      <w:bookmarkStart w:id="17" w:name="_Toc5371"/>
      <w:r>
        <w:rPr>
          <w:rFonts w:hint="eastAsia" w:ascii="楷体" w:hAnsi="楷体" w:eastAsia="楷体"/>
          <w:b/>
          <w:color w:val="000000" w:themeColor="text1"/>
          <w:sz w:val="24"/>
          <w:szCs w:val="24"/>
          <w14:textFill>
            <w14:solidFill>
              <w14:schemeClr w14:val="tx1"/>
            </w14:solidFill>
          </w14:textFill>
        </w:rPr>
        <w:t>碳酸锂：现货价格小幅上涨，期价大幅回调</w:t>
      </w:r>
      <w:bookmarkEnd w:id="1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现货价格小幅上涨，期价大幅回调，07合约收跌7.16%至111550元/吨。前期期价上涨主要受前期环保等消息面因素，以及年后需求回暖的先行预期所带动。磷酸铁锂供应有所增量，头部企业开工率维持于约6-7成，中部企业开工率约4-5成。三元材料需求总体小幅增长、中高镍需求增量较为明显，三元材料企业开工率约四成，原料价格上行，利润仍维持较低水平。3月下游排产环比上升，由于年前下游已进行部分备货，采购需求有待进一步观察，暂未见大幅补库。前期消息面影响逐步消化，进入三月后品种或面临仓单注销压力，部分现货流入市场或为供应贡献增量。后续留意进口数据及下游补库需求兑现情况，期价短期内或维持区间震荡。</w:t>
      </w:r>
    </w:p>
    <w:bookmarkEnd w:id="16"/>
    <w:bookmarkEnd w:id="17"/>
    <w:p>
      <w:pPr>
        <w:rPr>
          <w:rFonts w:ascii="楷体" w:hAnsi="楷体" w:eastAsia="楷体"/>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18" w:name="_Toc9719"/>
      <w:bookmarkStart w:id="19" w:name="_Toc25617"/>
      <w:bookmarkStart w:id="20" w:name="_Toc23523"/>
      <w:r>
        <w:rPr>
          <w:rFonts w:hint="eastAsia" w:ascii="楷体" w:hAnsi="楷体" w:eastAsia="楷体"/>
          <w:b/>
          <w:color w:val="000000" w:themeColor="text1"/>
          <w:sz w:val="24"/>
          <w:szCs w:val="24"/>
          <w14:textFill>
            <w14:solidFill>
              <w14:schemeClr w14:val="tx1"/>
            </w14:solidFill>
          </w14:textFill>
        </w:rPr>
        <w:t>铜：</w:t>
      </w:r>
      <w:bookmarkEnd w:id="18"/>
      <w:bookmarkEnd w:id="19"/>
      <w:r>
        <w:rPr>
          <w:rFonts w:hint="eastAsia" w:ascii="楷体" w:hAnsi="楷体" w:eastAsia="楷体"/>
          <w:b/>
          <w:color w:val="000000" w:themeColor="text1"/>
          <w:sz w:val="24"/>
          <w:szCs w:val="24"/>
          <w14:textFill>
            <w14:solidFill>
              <w14:schemeClr w14:val="tx1"/>
            </w14:solidFill>
          </w14:textFill>
        </w:rPr>
        <w:t>需求仍待进一步验证，短期价格震荡为主</w:t>
      </w:r>
      <w:bookmarkEnd w:id="20"/>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(1)库存：3月5日，SHFE仓单库存137061吨，增4473吨；LME仓单库存114075吨，减2700吨。</w:t>
      </w:r>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(2)精废价差：3月5日，Mysteel精废价差1458，收窄16。目前价差在合理价差1390之上。</w:t>
      </w:r>
    </w:p>
    <w:p>
      <w:pPr>
        <w:ind w:left="630" w:leftChars="300"/>
        <w:rPr>
          <w:rFonts w:hint="eastAsia" w:ascii="楷体" w:hAnsi="楷体" w:eastAsia="楷体"/>
          <w:color w:val="000000" w:themeColor="text1"/>
          <w:sz w:val="24"/>
          <w:szCs w:val="24"/>
          <w14:textFill>
            <w14:solidFill>
              <w14:schemeClr w14:val="tx1"/>
            </w14:solidFill>
          </w14:textFill>
        </w:rPr>
      </w:pPr>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综述：海外关注本周五美国非农数据，若就业数据走弱，可能再次强化短期降息预期。国内从目前两会前释放的信息看，政策仍然以托底性质为主，大概率没有强力度的政策。基本面，铜精矿TC短暂企稳后继续下行，建议持续关注冶炼端产出情况。当前国内库存持续累增，需求在逐步验证中，短期价格驱动不明显，震荡为主，参考区间68500-69500。</w:t>
      </w:r>
    </w:p>
    <w:p>
      <w:pPr>
        <w:ind w:firstLine="480" w:firstLineChars="200"/>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1" w:name="_Toc6247"/>
      <w:bookmarkStart w:id="22" w:name="_Toc8897"/>
      <w:bookmarkStart w:id="23" w:name="_Toc7159"/>
      <w:r>
        <w:rPr>
          <w:rFonts w:hint="eastAsia" w:ascii="楷体" w:hAnsi="楷体" w:eastAsia="楷体"/>
          <w:b/>
          <w:color w:val="000000" w:themeColor="text1"/>
          <w:sz w:val="24"/>
          <w:szCs w:val="24"/>
          <w14:textFill>
            <w14:solidFill>
              <w14:schemeClr w14:val="tx1"/>
            </w14:solidFill>
          </w14:textFill>
        </w:rPr>
        <w:t>铝：</w:t>
      </w:r>
      <w:bookmarkEnd w:id="21"/>
      <w:bookmarkEnd w:id="22"/>
      <w:r>
        <w:rPr>
          <w:rFonts w:hint="eastAsia" w:ascii="楷体" w:hAnsi="楷体" w:eastAsia="楷体"/>
          <w:b/>
          <w:color w:val="000000" w:themeColor="text1"/>
          <w:sz w:val="24"/>
          <w:szCs w:val="24"/>
          <w14:textFill>
            <w14:solidFill>
              <w14:schemeClr w14:val="tx1"/>
            </w14:solidFill>
          </w14:textFill>
        </w:rPr>
        <w:t>铝价区间偏强震荡运行</w:t>
      </w:r>
      <w:bookmarkEnd w:id="23"/>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联储官员表示短期内降息仍有存风险，联储降息预期再度延迟，欧元区经济数据表现不佳，海外经济整体偏软，另外美对俄的制裁方案暂时不包括工业金属，消息面影响减弱。国内召开两会，市场保持积极向好的政策预期。供应端整体保持稳定，内蒙古个别企业短暂停电，影响少量 产能开产，云南地区产能有复产消息传出，实际短期内时间复产可能性较小，铝土矿价格持续攀升，带动氧化铝价格走强，电解铝生产成本重心上移，下游需求在节后逐步修复，进入金三银四消费旺季，铝棒库存出现拐点，铸锭库存累积，去库节奏缓慢。宏观情绪多空博弈，供应端小幅减产但影响较小，需求有旺季消费预期，年后地产基建逐步恢复开工，铝价仍有支撑， 预期价格区间偏强震荡运行 ，参考区间18600-19300。</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24" w:name="_Toc30707"/>
      <w:r>
        <w:rPr>
          <w:rFonts w:hint="eastAsia" w:ascii="楷体" w:hAnsi="楷体" w:eastAsia="楷体"/>
          <w:b/>
          <w:color w:val="000000" w:themeColor="text1"/>
          <w:sz w:val="24"/>
          <w:szCs w:val="24"/>
          <w14:textFill>
            <w14:solidFill>
              <w14:schemeClr w14:val="tx1"/>
            </w14:solidFill>
          </w14:textFill>
        </w:rPr>
        <w:t>锌：锌价偏强运行</w:t>
      </w:r>
      <w:bookmarkEnd w:id="24"/>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海外宏观持续博弈联储降息窗口，国内两会召开，市场等待政策面情绪引导。基本面上看，海外锌矿受不可抗力影响进口较少，叠加进口盈利窗口关闭，国内矿端供应偏紧，冶炼端生产利润负反馈，精炼锌节前生产收缩，节后在消费旺季叠加节前订单敦促的影响下逐步开产，下游需求消费边际修复，锌价下方有强成本支撑，价格偏强运行。</w:t>
      </w:r>
    </w:p>
    <w:p>
      <w:pPr>
        <w:ind w:left="630" w:leftChars="300"/>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5" w:name="_Toc19143"/>
      <w:r>
        <w:rPr>
          <w:rFonts w:hint="eastAsia" w:ascii="楷体" w:hAnsi="楷体" w:eastAsia="楷体"/>
          <w:b/>
          <w:color w:val="000000" w:themeColor="text1"/>
          <w:sz w:val="24"/>
          <w:szCs w:val="24"/>
          <w14:textFill>
            <w14:solidFill>
              <w14:schemeClr w14:val="tx1"/>
            </w14:solidFill>
          </w14:textFill>
        </w:rPr>
        <w:t>镍：印尼镍矿供应不确定性缓解，镍价存回落风险</w:t>
      </w:r>
      <w:bookmarkEnd w:id="25"/>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消息扰动方面，据3月5日印尼官员表示，印尼能矿部已经批准723家申请公司中约120家矿产公司的采矿配额RKAB申请，能矿部计划在3月底前完成所有采矿审批，预计市场对印尼镍矿供应不确定性的担忧情绪会随之缓解，镍价逐步回归至基本面逻辑。成本方面，从中间品来看，受前期印尼华飞等MHP项目减产的影响，MHP供需偏紧，近期价格系数维持在75-80高位水平；从硫酸镍来看，此前持续性亏损压力使得硫酸镍厂家减产较多，而近期下游三元材料存在补库需求，在这种阶段性供需矛盾下硫酸镍价格偏强运行，预计12万元/吨整数关口为镍价提供较强的底部成本支撑。供需方面，精炼镍产能继续释放，镍供应显著过剩的产业格局未有改变，社会库存维持累库趋势。综合而言，在供应过剩压力及印尼镍矿扰动降温的影响下，镍价存在回落风险。</w:t>
      </w:r>
    </w:p>
    <w:p>
      <w:pPr>
        <w:rPr>
          <w:rFonts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26" w:name="_Toc11172"/>
      <w:r>
        <w:rPr>
          <w:rFonts w:hint="eastAsia" w:ascii="楷体" w:hAnsi="楷体" w:eastAsia="楷体"/>
          <w:b/>
          <w:color w:val="000000" w:themeColor="text1"/>
          <w:sz w:val="24"/>
          <w:szCs w:val="24"/>
          <w14:textFill>
            <w14:solidFill>
              <w14:schemeClr w14:val="tx1"/>
            </w14:solidFill>
          </w14:textFill>
        </w:rPr>
        <w:t>不锈钢：下游需求偏淡，预计价格偏弱震荡</w:t>
      </w:r>
      <w:bookmarkEnd w:id="26"/>
    </w:p>
    <w:p>
      <w:pPr>
        <w:ind w:left="630" w:leftChars="300"/>
        <w:rPr>
          <w:rFonts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印尼镍矿RKAB审批缓慢为近期价格波动的重要影响因素，其审批缓慢的原因在于政府换届轮替及非法采矿问题，据3月5日印尼官员表示，印尼能矿部已经批准723家申请公司中约120家矿产公司的采矿配额申请，能矿部计划在3月底前完成所有采矿审批，预计市场对印尼镍矿供应不确定性的担忧情绪会随之缓解，价格将回归至基本面逻辑。从基本面来看，不锈钢厂将陆续复产，据Mysteel预估，国内43家不锈钢厂粗钢3月排产312.03万吨，月环比增加21.4%，同比增加11.53%，而节后下游成交多以刚需采购为主，未见需求明显回暖迹象，基本面偏弱对价格带来压力，预计短期不锈钢价格偏弱震荡，持续关注需求状况及印尼镍矿RKAB审批进展。</w:t>
      </w:r>
    </w:p>
    <w:p>
      <w:pPr>
        <w:rPr>
          <w:rFonts w:ascii="楷体" w:hAnsi="楷体" w:eastAsia="楷体"/>
          <w:bCs/>
          <w:sz w:val="24"/>
          <w:szCs w:val="24"/>
        </w:rPr>
      </w:pPr>
    </w:p>
    <w:p>
      <w:pPr>
        <w:ind w:left="420" w:leftChars="200"/>
        <w:outlineLvl w:val="1"/>
        <w:rPr>
          <w:rFonts w:ascii="楷体" w:hAnsi="楷体" w:eastAsia="楷体"/>
          <w:b/>
          <w:sz w:val="24"/>
          <w:szCs w:val="24"/>
        </w:rPr>
      </w:pPr>
      <w:bookmarkStart w:id="27" w:name="_Toc5107"/>
      <w:r>
        <w:rPr>
          <w:rFonts w:hint="eastAsia" w:ascii="楷体" w:hAnsi="楷体" w:eastAsia="楷体"/>
          <w:b/>
          <w:color w:val="000000" w:themeColor="text1"/>
          <w:sz w:val="24"/>
          <w:szCs w:val="24"/>
          <w14:textFill>
            <w14:solidFill>
              <w14:schemeClr w14:val="tx1"/>
            </w14:solidFill>
          </w14:textFill>
        </w:rPr>
        <w:t>工业硅：</w:t>
      </w:r>
      <w:r>
        <w:rPr>
          <w:rFonts w:hint="eastAsia" w:ascii="楷体" w:hAnsi="楷体" w:eastAsia="楷体"/>
          <w:b/>
          <w:sz w:val="24"/>
          <w:szCs w:val="24"/>
        </w:rPr>
        <w:t>供需双增预期，短期或维持震荡运行</w:t>
      </w:r>
      <w:bookmarkEnd w:id="27"/>
    </w:p>
    <w:p>
      <w:pPr>
        <w:ind w:left="630" w:leftChars="300"/>
        <w:rPr>
          <w:rFonts w:ascii="楷体" w:hAnsi="楷体" w:eastAsia="楷体"/>
          <w:sz w:val="24"/>
          <w:szCs w:val="24"/>
        </w:rPr>
      </w:pPr>
      <w:r>
        <w:rPr>
          <w:rFonts w:hint="eastAsia" w:ascii="楷体" w:hAnsi="楷体" w:eastAsia="楷体"/>
          <w:sz w:val="24"/>
          <w:szCs w:val="24"/>
        </w:rPr>
        <w:t>3月5日，Si2404主力合约呈冲高回落走势，收盘价13325元/吨，较上一收盘价涨跌幅-0.49%。供应方面，受行情低迷影响，云南保山地区个别工厂近期计划停炉检修，但北方产区供应已在陆续恢复，后续或仍有进一步恢复预期，整体供应或维持增加。需求方面，节后订单暂未出现明显放量，补库有所不及预期，但随着复工复产继续进行，有望逐步恢复。综合而言，行业后续存在供需双增预期，短期盘面维持震荡观点，参考区间13100-13700。</w:t>
      </w:r>
    </w:p>
    <w:p>
      <w:pPr>
        <w:ind w:firstLine="420" w:firstLineChars="200"/>
        <w:rPr>
          <w:rFonts w:ascii="Times New Roman" w:hAnsi="Times New Roman" w:eastAsia="楷体"/>
          <w:bCs/>
        </w:rPr>
      </w:pPr>
    </w:p>
    <w:p>
      <w:pPr>
        <w:ind w:firstLine="420" w:firstLineChars="200"/>
        <w:rPr>
          <w:rFonts w:ascii="Times New Roman" w:hAnsi="Times New Roman" w:eastAsia="楷体"/>
          <w:bCs/>
        </w:rPr>
      </w:pPr>
    </w:p>
    <w:p>
      <w:pPr>
        <w:pBdr>
          <w:top w:val="single" w:color="auto" w:sz="4" w:space="0"/>
        </w:pBdr>
        <w:outlineLvl w:val="0"/>
        <w:rPr>
          <w:rFonts w:ascii="Times New Roman" w:hAnsi="Times New Roman" w:eastAsia="楷体"/>
          <w:b/>
          <w:color w:val="823C0B"/>
          <w:sz w:val="30"/>
          <w:szCs w:val="30"/>
        </w:rPr>
      </w:pPr>
      <w:bookmarkStart w:id="28" w:name="化工"/>
      <w:r>
        <w:rPr>
          <w:rFonts w:hint="eastAsia" w:ascii="Times New Roman" w:hAnsi="Times New Roman" w:eastAsia="楷体"/>
          <w:b/>
          <w:color w:val="823C0B"/>
          <w:sz w:val="30"/>
          <w:szCs w:val="30"/>
        </w:rPr>
        <w:t xml:space="preserve"> </w:t>
      </w:r>
      <w:bookmarkStart w:id="29" w:name="_Toc13701"/>
      <w:r>
        <w:rPr>
          <w:rFonts w:hint="eastAsia" w:ascii="Times New Roman" w:hAnsi="Times New Roman" w:eastAsia="楷体"/>
          <w:b/>
          <w:color w:val="823C0B"/>
          <w:sz w:val="30"/>
          <w:szCs w:val="30"/>
        </w:rPr>
        <w:t>[化工]</w:t>
      </w:r>
      <w:bookmarkEnd w:id="28"/>
      <w:bookmarkEnd w:id="29"/>
    </w:p>
    <w:p>
      <w:pPr>
        <w:ind w:firstLine="482" w:firstLineChars="200"/>
        <w:outlineLvl w:val="1"/>
        <w:rPr>
          <w:rFonts w:ascii="楷体" w:hAnsi="楷体" w:eastAsia="楷体"/>
          <w:b/>
          <w:sz w:val="24"/>
          <w:szCs w:val="24"/>
        </w:rPr>
      </w:pPr>
      <w:bookmarkStart w:id="30" w:name="_Toc4028"/>
      <w:r>
        <w:rPr>
          <w:rFonts w:hint="eastAsia" w:ascii="Times New Roman" w:hAnsi="Times New Roman" w:eastAsia="楷体"/>
          <w:b/>
          <w:color w:val="000000" w:themeColor="text1"/>
          <w:sz w:val="24"/>
          <w:szCs w:val="24"/>
          <w14:textFill>
            <w14:solidFill>
              <w14:schemeClr w14:val="tx1"/>
            </w14:solidFill>
          </w14:textFill>
        </w:rPr>
        <w:t>天然橡胶:</w:t>
      </w:r>
      <w:r>
        <w:rPr>
          <w:rFonts w:hint="eastAsia" w:ascii="Times New Roman" w:hAnsi="Times New Roman" w:eastAsia="楷体"/>
          <w:b/>
          <w:color w:val="000000" w:themeColor="text1"/>
          <w:sz w:val="24"/>
          <w:szCs w:val="24"/>
          <w:lang w:val="en-US" w:eastAsia="zh-CN"/>
          <w14:textFill>
            <w14:solidFill>
              <w14:schemeClr w14:val="tx1"/>
            </w14:solidFill>
          </w14:textFill>
        </w:rPr>
        <w:t xml:space="preserve"> </w:t>
      </w:r>
      <w:r>
        <w:rPr>
          <w:rFonts w:hint="eastAsia" w:ascii="楷体" w:hAnsi="楷体" w:eastAsia="楷体"/>
          <w:b/>
          <w:sz w:val="24"/>
          <w:szCs w:val="24"/>
        </w:rPr>
        <w:t>轮胎厂高开工与港口高库存并存 胶价上方压力较大</w:t>
      </w:r>
      <w:bookmarkEnd w:id="30"/>
      <w:r>
        <w:rPr>
          <w:rFonts w:hint="eastAsia" w:ascii="楷体" w:hAnsi="楷体" w:eastAsia="楷体"/>
          <w:b/>
          <w:sz w:val="24"/>
          <w:szCs w:val="24"/>
        </w:rPr>
        <w:t xml:space="preserve">           </w:t>
      </w:r>
    </w:p>
    <w:p>
      <w:pPr>
        <w:ind w:left="630" w:leftChars="300"/>
        <w:rPr>
          <w:rFonts w:ascii="楷体" w:hAnsi="楷体" w:eastAsia="楷体"/>
          <w:sz w:val="24"/>
          <w:szCs w:val="24"/>
        </w:rPr>
      </w:pPr>
      <w:r>
        <w:rPr>
          <w:rFonts w:hint="eastAsia" w:ascii="楷体" w:hAnsi="楷体" w:eastAsia="楷体"/>
          <w:sz w:val="24"/>
          <w:szCs w:val="24"/>
        </w:rPr>
        <w:t>点评：供应方面，泰国供应处于季节性收缩时期，原料价格易涨难跌，标胶到港量下降预期偏强。库存方面，国内社会库存回升，青岛深色胶即将呈现累库拐点，浅色库存同比去年上升。需求端来看，节后返工叠加国内需求的全面复苏，下游工厂陆续复工复产，开工率将恢复性提升。整体看，春节后随着复工复产，天然橡胶需求端提振预期偏强，天胶库存或处于去库周期，但较往年偏高的库存依旧制约盘面上行幅度。</w:t>
      </w:r>
    </w:p>
    <w:p>
      <w:pPr>
        <w:rPr>
          <w:rFonts w:ascii="楷体" w:hAnsi="楷体" w:eastAsia="楷体"/>
          <w:bCs/>
          <w:sz w:val="24"/>
          <w:szCs w:val="24"/>
        </w:rPr>
      </w:pPr>
    </w:p>
    <w:p>
      <w:pPr>
        <w:ind w:left="420" w:leftChars="200"/>
        <w:outlineLvl w:val="1"/>
        <w:rPr>
          <w:rFonts w:ascii="楷体" w:hAnsi="楷体" w:eastAsia="楷体"/>
          <w:b/>
          <w:color w:val="000000" w:themeColor="text1"/>
          <w:sz w:val="24"/>
          <w:szCs w:val="24"/>
          <w14:textFill>
            <w14:solidFill>
              <w14:schemeClr w14:val="tx1"/>
            </w14:solidFill>
          </w14:textFill>
        </w:rPr>
      </w:pPr>
      <w:bookmarkStart w:id="31" w:name="_Toc6399"/>
      <w:r>
        <w:rPr>
          <w:rFonts w:hint="eastAsia" w:ascii="楷体" w:hAnsi="楷体" w:eastAsia="楷体"/>
          <w:b/>
          <w:color w:val="000000" w:themeColor="text1"/>
          <w:sz w:val="24"/>
          <w:szCs w:val="24"/>
          <w14:textFill>
            <w14:solidFill>
              <w14:schemeClr w14:val="tx1"/>
            </w14:solidFill>
          </w14:textFill>
        </w:rPr>
        <w:t>聚烯烃：市场多空因素交织，L整体强于PP</w:t>
      </w:r>
      <w:bookmarkEnd w:id="31"/>
      <w:r>
        <w:rPr>
          <w:rFonts w:hint="eastAsia" w:ascii="楷体" w:hAnsi="楷体" w:eastAsia="楷体"/>
          <w:b/>
          <w:color w:val="000000" w:themeColor="text1"/>
          <w:sz w:val="24"/>
          <w:szCs w:val="24"/>
          <w14:textFill>
            <w14:solidFill>
              <w14:schemeClr w14:val="tx1"/>
            </w14:solidFill>
          </w14:textFill>
        </w:rPr>
        <w:t xml:space="preserve">      </w:t>
      </w:r>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目前聚烯烃上游石化库存为99万吨，较春节前累库41.5万吨，与去年同期相比增幅较大，库存压力较大。聚烯烃自身开工负荷变动不大，但下游进入集中停工期，春节期间开工率大幅走低，需求降至年内冰点。进口方面，LL进口窗口打开，PP进口窗口关闭。聚烯烃基本面变动不大，建议逢低多L，逢高空PP性价比更高。</w:t>
      </w:r>
    </w:p>
    <w:p>
      <w:pPr>
        <w:rPr>
          <w:rFonts w:ascii="楷体" w:hAnsi="楷体" w:eastAsia="楷体"/>
          <w:bCs/>
          <w:sz w:val="24"/>
          <w:szCs w:val="24"/>
        </w:rPr>
      </w:pPr>
    </w:p>
    <w:p>
      <w:pPr>
        <w:ind w:left="420" w:leftChars="200"/>
        <w:outlineLvl w:val="1"/>
        <w:rPr>
          <w:rFonts w:hint="eastAsia" w:ascii="楷体" w:hAnsi="楷体" w:eastAsia="楷体"/>
          <w:b/>
          <w:color w:val="000000" w:themeColor="text1"/>
          <w:sz w:val="24"/>
          <w:szCs w:val="24"/>
          <w14:textFill>
            <w14:solidFill>
              <w14:schemeClr w14:val="tx1"/>
            </w14:solidFill>
          </w14:textFill>
        </w:rPr>
      </w:pPr>
      <w:bookmarkStart w:id="32" w:name="_Toc30576"/>
      <w:r>
        <w:rPr>
          <w:rFonts w:hint="eastAsia" w:ascii="楷体" w:hAnsi="楷体" w:eastAsia="楷体"/>
          <w:b/>
          <w:color w:val="000000" w:themeColor="text1"/>
          <w:sz w:val="24"/>
          <w:szCs w:val="24"/>
          <w14:textFill>
            <w14:solidFill>
              <w14:schemeClr w14:val="tx1"/>
            </w14:solidFill>
          </w14:textFill>
        </w:rPr>
        <w:t>玻璃：现货价格持续下跌，基差修复</w:t>
      </w:r>
      <w:bookmarkEnd w:id="32"/>
    </w:p>
    <w:p>
      <w:pPr>
        <w:ind w:left="630" w:leftChars="300"/>
        <w:rPr>
          <w:rFonts w:hint="eastAsia" w:ascii="楷体" w:hAnsi="楷体" w:eastAsia="楷体"/>
          <w:color w:val="000000" w:themeColor="text1"/>
          <w:sz w:val="24"/>
          <w:szCs w:val="24"/>
          <w14:textFill>
            <w14:solidFill>
              <w14:schemeClr w14:val="tx1"/>
            </w14:solidFill>
          </w14:textFill>
        </w:rPr>
      </w:pPr>
      <w:r>
        <w:rPr>
          <w:rFonts w:hint="eastAsia" w:ascii="楷体" w:hAnsi="楷体" w:eastAsia="楷体"/>
          <w:color w:val="000000" w:themeColor="text1"/>
          <w:sz w:val="24"/>
          <w:szCs w:val="24"/>
          <w14:textFill>
            <w14:solidFill>
              <w14:schemeClr w14:val="tx1"/>
            </w14:solidFill>
          </w14:textFill>
        </w:rPr>
        <w:t>隆众资讯3月5日报道：今日浮法玻璃现货价格2011元/吨，较上一交易日-8元/吨。供给上，全国浮法玻璃日产量为17.23万吨，维持在高位。库存上，截止到20240229，全国浮法玻璃样本企业总库存5572.2万重箱，环比+146.7万重箱，环比+2.7%，从本周产销来看，预计延续累库。从需求看，下游元宵节后开始动工，但恢复较慢，上游沙河湖北主产区原片厂和中游贸易商库存持续积累，有待消化，周内降价清库，下游回款差，补库谨慎，刚需为主。盘面期现仍处于负反馈中，下游复工明显拖后，短期期价下跌至年线附近弱势震荡，基差逐步收敛。3月主线在前期的需求预期能否兑现，后市重点关注现货降价能否拉的拉动下游补库积极性，短线建议空单在年线附近逐步止盈离场。</w:t>
      </w:r>
    </w:p>
    <w:p>
      <w:pPr>
        <w:ind w:left="630" w:leftChars="300"/>
        <w:rPr>
          <w:rFonts w:hint="eastAsia" w:ascii="楷体" w:hAnsi="楷体" w:eastAsia="楷体"/>
          <w:color w:val="000000" w:themeColor="text1"/>
          <w:sz w:val="24"/>
          <w:szCs w:val="24"/>
          <w14:textFill>
            <w14:solidFill>
              <w14:schemeClr w14:val="tx1"/>
            </w14:solidFill>
          </w14:textFill>
        </w:rPr>
      </w:pPr>
    </w:p>
    <w:p>
      <w:pPr>
        <w:ind w:left="420" w:leftChars="200"/>
        <w:outlineLvl w:val="1"/>
        <w:rPr>
          <w:rFonts w:hint="eastAsia" w:ascii="楷体" w:hAnsi="楷体" w:eastAsia="楷体"/>
          <w:b/>
          <w:color w:val="000000" w:themeColor="text1"/>
          <w:sz w:val="24"/>
          <w:szCs w:val="24"/>
          <w:lang w:val="en-US" w:eastAsia="zh-CN"/>
          <w14:textFill>
            <w14:solidFill>
              <w14:schemeClr w14:val="tx1"/>
            </w14:solidFill>
          </w14:textFill>
        </w:rPr>
      </w:pPr>
      <w:bookmarkStart w:id="33" w:name="_Toc26531"/>
      <w:r>
        <w:rPr>
          <w:rFonts w:hint="eastAsia" w:ascii="楷体" w:hAnsi="楷体" w:eastAsia="楷体"/>
          <w:b/>
          <w:color w:val="000000" w:themeColor="text1"/>
          <w:sz w:val="24"/>
          <w:szCs w:val="24"/>
          <w14:textFill>
            <w14:solidFill>
              <w14:schemeClr w14:val="tx1"/>
            </w14:solidFill>
          </w14:textFill>
        </w:rPr>
        <w:t>纯碱：市场再度炒作封单，中期供给过剩趋势未改</w:t>
      </w:r>
      <w:bookmarkEnd w:id="33"/>
    </w:p>
    <w:p>
      <w:pPr>
        <w:ind w:left="630" w:leftChars="300"/>
        <w:rPr>
          <w:rFonts w:ascii="楷体" w:hAnsi="楷体" w:eastAsia="楷体"/>
          <w:bCs/>
          <w:sz w:val="24"/>
          <w:szCs w:val="24"/>
        </w:rPr>
      </w:pPr>
      <w:r>
        <w:rPr>
          <w:rFonts w:hint="eastAsia" w:ascii="楷体" w:hAnsi="楷体" w:eastAsia="楷体"/>
          <w:color w:val="000000" w:themeColor="text1"/>
          <w:sz w:val="24"/>
          <w:szCs w:val="24"/>
          <w14:textFill>
            <w14:solidFill>
              <w14:schemeClr w14:val="tx1"/>
            </w14:solidFill>
          </w14:textFill>
        </w:rPr>
        <w:t>现货端来看，春节之后现货价格持续阴跌，河北最低的送到价已从节前2300元/吨下跌至1950-2000元/吨。从供给端来看，截止到2024年2月29日，周纯碱产量74.31万吨，涨幅3.45%，青海地区前期受环保影响的产能在逐步提量，部分碱厂短停。从库存上看，上周纯碱企业库存84.76万吨，涨幅13.24%。需求上，上周末部分玻璃厂重碱继续有进口碱补充，需求增量主要看轻碱下游，但高供给情况下，高价销量不佳，高报价低价成交的可能性更大，并且如果从刚需来看，周度表需大约在63-64万吨，但如果纯碱要大幅去库，那么周度表需要提升到75万吨以上，下游接纳空间有限，大规模集中补库难以持续。故我们认为，盘面的反弹更多的是短期消息面的炒作，如果不解决高供给的问题，中期累库趋势难改，前期主力合约下跌至成本附近后企稳反弹收复基差，若近月期价能够收至平水或小幅升水都是较好的高空位置。</w:t>
      </w:r>
    </w:p>
    <w:p>
      <w:pPr>
        <w:ind w:firstLine="480" w:firstLineChars="200"/>
        <w:rPr>
          <w:rFonts w:ascii="楷体" w:hAnsi="楷体" w:eastAsia="楷体"/>
          <w:bCs/>
          <w:sz w:val="24"/>
          <w:szCs w:val="24"/>
        </w:rPr>
      </w:pPr>
    </w:p>
    <w:p>
      <w:pPr>
        <w:ind w:firstLine="420" w:firstLineChars="200"/>
        <w:rPr>
          <w:rFonts w:ascii="Times New Roman" w:hAnsi="Times New Roman" w:eastAsia="楷体"/>
          <w:bCs/>
        </w:rPr>
      </w:pPr>
    </w:p>
    <w:p>
      <w:pPr>
        <w:pBdr>
          <w:top w:val="single" w:color="auto" w:sz="4" w:space="1"/>
        </w:pBdr>
        <w:outlineLvl w:val="0"/>
        <w:rPr>
          <w:rFonts w:ascii="楷体" w:hAnsi="楷体" w:eastAsia="楷体"/>
          <w:bCs/>
          <w:sz w:val="24"/>
          <w:szCs w:val="24"/>
        </w:rPr>
      </w:pPr>
      <w:r>
        <w:rPr>
          <w:rFonts w:hint="eastAsia" w:ascii="Times New Roman" w:hAnsi="Times New Roman" w:eastAsia="楷体"/>
          <w:b/>
          <w:color w:val="823C0B"/>
          <w:sz w:val="30"/>
          <w:szCs w:val="30"/>
        </w:rPr>
        <w:t xml:space="preserve"> </w:t>
      </w:r>
      <w:bookmarkStart w:id="34" w:name="_Toc17895"/>
      <w:r>
        <w:rPr>
          <w:rFonts w:hint="eastAsia" w:ascii="Times New Roman" w:hAnsi="Times New Roman" w:eastAsia="楷体"/>
          <w:b/>
          <w:color w:val="823C0B"/>
          <w:sz w:val="30"/>
          <w:szCs w:val="30"/>
        </w:rPr>
        <w:t>[农产品]</w:t>
      </w:r>
      <w:bookmarkEnd w:id="14"/>
      <w:bookmarkEnd w:id="34"/>
    </w:p>
    <w:p>
      <w:pPr>
        <w:pStyle w:val="93"/>
        <w:spacing w:before="60" w:beforeAutospacing="0" w:after="60" w:afterAutospacing="0"/>
        <w:ind w:left="420" w:leftChars="200"/>
        <w:outlineLvl w:val="1"/>
        <w:rPr>
          <w:rFonts w:ascii="楷体" w:hAnsi="楷体" w:eastAsia="楷体"/>
          <w:b/>
        </w:rPr>
      </w:pPr>
      <w:bookmarkStart w:id="35" w:name="_Toc27183"/>
      <w:r>
        <w:rPr>
          <w:rFonts w:hint="eastAsia" w:ascii="楷体" w:hAnsi="楷体" w:eastAsia="楷体"/>
          <w:b/>
          <w:bCs/>
          <w:color w:val="000000" w:themeColor="text1"/>
          <w14:textFill>
            <w14:solidFill>
              <w14:schemeClr w14:val="tx1"/>
            </w14:solidFill>
          </w14:textFill>
        </w:rPr>
        <w:t>玉米与淀粉：</w:t>
      </w:r>
      <w:r>
        <w:rPr>
          <w:rFonts w:hint="eastAsia" w:ascii="楷体" w:hAnsi="楷体" w:eastAsia="楷体"/>
          <w:b/>
        </w:rPr>
        <w:t>期价弱势调整等待现货</w:t>
      </w:r>
      <w:bookmarkEnd w:id="35"/>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玉米而言，节后以来期现货上涨之后，期价转为震荡调整，市场可能存在两个方面的担忧，其一是短期，主要担心为后期气温上升之后，余粮特别是地趴粮带来的供应压力；其二是国内价格上涨是的内外价差走扩，市场会担心进口增量来补充国内玉米产需缺口。换句话说，市场短期会再度担心阶段性供应压力，中长期产需缺口预期转变亦尚未成为市场共识，这需要市场逐步证实。我们维持谨慎看多观点，建议投资者持有前期多单，如无前期多单则可考虑择机入场做多。</w:t>
      </w:r>
    </w:p>
    <w:p>
      <w:pPr>
        <w:pStyle w:val="93"/>
        <w:spacing w:before="0" w:beforeAutospacing="0" w:after="60" w:afterAutospacing="0"/>
        <w:ind w:left="630" w:leftChars="300"/>
        <w:rPr>
          <w:rFonts w:ascii="楷体" w:hAnsi="楷体" w:eastAsia="楷体"/>
        </w:rPr>
      </w:pPr>
      <w:r>
        <w:rPr>
          <w:rFonts w:hint="eastAsia" w:ascii="楷体" w:hAnsi="楷体" w:eastAsia="楷体"/>
        </w:rPr>
        <w:t>对于淀粉而言，影响淀粉-玉米价差的三方面因素均存在较大不确定性，除去上述的原料成本即玉米之外，副产品更多跟随蛋白粕走势，这取决于外盘美豆走势；行业供需中库存累积需要甄别其持续性，因其不排除是阶段性因素。在我们看来，考虑到盘面生产利润已进入亏损状况，在副产品和行业供需尚未确认之前，暂不适合入场做缩淀粉-玉米价差。综上所述，我们持谨慎看多观点，建议节前多单可以考虑继续持有，套利方面则暂以观望为宜。</w:t>
      </w:r>
    </w:p>
    <w:p>
      <w:pPr>
        <w:pStyle w:val="93"/>
        <w:spacing w:before="60" w:beforeAutospacing="0" w:after="60" w:afterAutospacing="0"/>
        <w:ind w:left="630" w:leftChars="300"/>
        <w:rPr>
          <w:rFonts w:ascii="楷体" w:hAnsi="楷体" w:eastAsia="楷体"/>
        </w:rPr>
      </w:pPr>
    </w:p>
    <w:p>
      <w:pPr>
        <w:pStyle w:val="93"/>
        <w:spacing w:before="60" w:beforeAutospacing="0" w:after="60" w:afterAutospacing="0"/>
        <w:ind w:left="420" w:leftChars="200"/>
        <w:outlineLvl w:val="1"/>
        <w:rPr>
          <w:rFonts w:ascii="楷体" w:hAnsi="楷体" w:eastAsia="楷体"/>
          <w:b/>
          <w:bCs/>
          <w:color w:val="000000" w:themeColor="text1"/>
          <w14:textFill>
            <w14:solidFill>
              <w14:schemeClr w14:val="tx1"/>
            </w14:solidFill>
          </w14:textFill>
        </w:rPr>
      </w:pPr>
      <w:bookmarkStart w:id="36" w:name="_Toc7438"/>
      <w:r>
        <w:rPr>
          <w:rFonts w:hint="eastAsia" w:ascii="楷体" w:hAnsi="楷体" w:eastAsia="楷体"/>
          <w:b/>
          <w:bCs/>
          <w:color w:val="000000" w:themeColor="text1"/>
          <w14:textFill>
            <w14:solidFill>
              <w14:schemeClr w14:val="tx1"/>
            </w14:solidFill>
          </w14:textFill>
        </w:rPr>
        <w:t>畜禽养殖：鸡蛋现货带动期价偏强震荡</w:t>
      </w:r>
      <w:bookmarkEnd w:id="36"/>
    </w:p>
    <w:p>
      <w:pPr>
        <w:pStyle w:val="93"/>
        <w:spacing w:before="0" w:beforeAutospacing="0" w:after="60" w:afterAutospacing="0"/>
        <w:ind w:left="630" w:leftChars="300"/>
        <w:rPr>
          <w:rFonts w:hint="eastAsia" w:ascii="楷体" w:hAnsi="楷体" w:eastAsia="楷体"/>
        </w:rPr>
      </w:pPr>
      <w:r>
        <w:rPr>
          <w:rFonts w:hint="eastAsia" w:ascii="楷体" w:hAnsi="楷体" w:eastAsia="楷体"/>
        </w:rPr>
        <w:t>对于生猪而言，目前期价结构呈现远月升水结构，表明市场对远期供需预期趋于乐观，这主要源于产能去化即能繁母猪存栏的持续下降，但市场对其改善幅度存在分歧，特别是春节前仔猪现货价格大幅上涨之后，因其使得母猪养殖变得盈利，这将抑制产能的继续去化。而从农业农村部公布的四季度末生猪存栏可以看出，生猪供应有望低于去年同期，但考虑到需求季节性因素，能否改变供需格局尚未可知，而由于去年四季度豆粕和玉米的大幅下跌，生猪养殖饲料成本显著低于去年同期，在这种供需格局和饲料成本的背景下，市场普遍预计现货涨幅有限。接下来需要留意两个方面，其一是生猪价格何时确认季节性低点，及其低点的水平；其二是饲料原料成本，前期期价反弹更多源于后者。据此我们维持中性观点，建议投资者继续观望为宜，等待现货季节性低点后再行入场。</w:t>
      </w:r>
    </w:p>
    <w:p>
      <w:pPr>
        <w:pStyle w:val="93"/>
        <w:spacing w:before="0" w:beforeAutospacing="0" w:after="60" w:afterAutospacing="0"/>
        <w:ind w:left="630" w:leftChars="300"/>
        <w:rPr>
          <w:rFonts w:ascii="楷体" w:hAnsi="楷体" w:eastAsia="楷体"/>
        </w:rPr>
      </w:pPr>
      <w:r>
        <w:rPr>
          <w:rFonts w:hint="eastAsia" w:ascii="楷体" w:hAnsi="楷体" w:eastAsia="楷体"/>
        </w:rPr>
        <w:t>对于鸡蛋而言，分析市场可以看出，节前期价持续下跌，主要源于两个方面，其一是饲料原料成本的下滑，其二也是根本原因则在于供应端的增长，卓创资讯数据显示，在产蛋鸡存栏连续环比增加，考虑到今年节后以来蛋鸡苗销量均同比增加，而蛋鸡淘汰量持续处于历史低位水平，蛋鸡淘汰日龄则持续位于历史同期高位。接下来中期需要留意两个方面，其一是饲料原料成本的变化；其二是养殖户补栏和淘汰积极性的变化，随着鸡蛋现货价格的下跌，蛋鸡养殖利润亦随之下滑，养殖户淘汰积极性持续较高。考虑到节后现货已季节性回落，中期与短期利空因素或已经在很大程度上得以释放，继续下跌空间或有限，接下来或震荡反弹或趋于调整。我们维持中性观点，建议投资者观望，可考虑参与短线操作。</w:t>
      </w:r>
    </w:p>
    <w:p>
      <w:pPr>
        <w:ind w:firstLine="480" w:firstLineChars="200"/>
        <w:rPr>
          <w:rFonts w:ascii="楷体" w:hAnsi="楷体" w:eastAsia="楷体"/>
          <w:sz w:val="24"/>
          <w:szCs w:val="24"/>
        </w:rPr>
      </w:pPr>
    </w:p>
    <w:p>
      <w:pPr>
        <w:ind w:firstLine="480" w:firstLineChars="200"/>
        <w:rPr>
          <w:rFonts w:ascii="楷体" w:hAnsi="楷体" w:eastAsia="楷体"/>
          <w:bCs/>
          <w:sz w:val="24"/>
          <w:szCs w:val="24"/>
        </w:rPr>
      </w:pPr>
    </w:p>
    <w:p>
      <w:pPr>
        <w:pBdr>
          <w:top w:val="single" w:color="auto" w:sz="4" w:space="0"/>
        </w:pBdr>
        <w:outlineLvl w:val="0"/>
        <w:rPr>
          <w:rFonts w:ascii="Times New Roman" w:hAnsi="Times New Roman" w:eastAsia="楷体"/>
          <w:b/>
          <w:color w:val="823C0B"/>
        </w:rPr>
      </w:pPr>
      <w:bookmarkStart w:id="37" w:name="_Toc20088"/>
      <w:r>
        <w:rPr>
          <w:rFonts w:hint="eastAsia" w:ascii="Times New Roman" w:hAnsi="Times New Roman" w:eastAsia="楷体"/>
          <w:b/>
          <w:color w:val="823C0B"/>
          <w:sz w:val="30"/>
          <w:szCs w:val="30"/>
        </w:rPr>
        <w:t>[指数]</w:t>
      </w:r>
      <w:bookmarkEnd w:id="37"/>
    </w:p>
    <w:p>
      <w:pPr>
        <w:ind w:left="420" w:leftChars="200"/>
        <w:outlineLvl w:val="1"/>
        <w:rPr>
          <w:rFonts w:ascii="Times New Roman" w:hAnsi="Times New Roman" w:eastAsia="楷体"/>
          <w:b/>
          <w:color w:val="000000" w:themeColor="text1"/>
          <w:sz w:val="24"/>
          <w:szCs w:val="24"/>
          <w14:textFill>
            <w14:solidFill>
              <w14:schemeClr w14:val="tx1"/>
            </w14:solidFill>
          </w14:textFill>
        </w:rPr>
      </w:pPr>
      <w:bookmarkStart w:id="38" w:name="_Toc8343"/>
      <w:r>
        <w:rPr>
          <w:rFonts w:hint="eastAsia" w:ascii="Times New Roman" w:hAnsi="Times New Roman" w:eastAsia="楷体"/>
          <w:b/>
          <w:color w:val="000000" w:themeColor="text1"/>
          <w:sz w:val="24"/>
          <w:szCs w:val="24"/>
          <w14:textFill>
            <w14:solidFill>
              <w14:schemeClr w14:val="tx1"/>
            </w14:solidFill>
          </w14:textFill>
        </w:rPr>
        <w:t>集运指数（欧线）：现货价格逐步回落，基差进入收敛通道</w:t>
      </w:r>
      <w:bookmarkEnd w:id="38"/>
    </w:p>
    <w:p>
      <w:pPr>
        <w:ind w:left="630" w:leftChars="300"/>
        <w:rPr>
          <w:rFonts w:hint="eastAsia"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上周五盘后公布新一期SCFI欧线数据下跌幅度超9%至2277美元/TEU。周一盘后SCFIS欧线小幅回落3%至2849.6点。目前进入周中的数据真空期。短期看，大多船司继续下调运费，其中马士基将Week11和Week12船代已经将运价下调至1700美金/TEU附近。同时根据最新消息达飞重新评估红海南部地区的情况，考虑个别船只通航红海。</w:t>
      </w:r>
    </w:p>
    <w:p>
      <w:pPr>
        <w:ind w:left="630" w:leftChars="300"/>
        <w:rPr>
          <w:rFonts w:ascii="Times New Roman" w:hAnsi="Times New Roman" w:eastAsia="楷体"/>
          <w:color w:val="000000" w:themeColor="text1"/>
          <w:sz w:val="24"/>
          <w:szCs w:val="24"/>
          <w14:textFill>
            <w14:solidFill>
              <w14:schemeClr w14:val="tx1"/>
            </w14:solidFill>
          </w14:textFill>
        </w:rPr>
      </w:pPr>
      <w:r>
        <w:rPr>
          <w:rFonts w:hint="eastAsia" w:ascii="Times New Roman" w:hAnsi="Times New Roman" w:eastAsia="楷体"/>
          <w:color w:val="000000" w:themeColor="text1"/>
          <w:sz w:val="24"/>
          <w:szCs w:val="24"/>
          <w14:textFill>
            <w14:solidFill>
              <w14:schemeClr w14:val="tx1"/>
            </w14:solidFill>
          </w14:textFill>
        </w:rPr>
        <w:t>需求方面，春节后工厂开工、货运需求进入淡季。因此周期性因素拖动EC转弱势，但目前期价深度贴水，现货价格逐步向下收敛，预计期货价格弱震荡区间约为1700至2000点。</w:t>
      </w:r>
    </w:p>
    <w:p>
      <w:pPr>
        <w:ind w:firstLine="602" w:firstLineChars="200"/>
        <w:rPr>
          <w:rFonts w:ascii="Times New Roman" w:hAnsi="Times New Roman" w:eastAsia="楷体"/>
          <w:b/>
          <w:color w:val="800000"/>
          <w:sz w:val="30"/>
          <w:szCs w:val="30"/>
        </w:rPr>
      </w:pPr>
      <w:r>
        <w:rPr>
          <w:rFonts w:ascii="Times New Roman" w:hAnsi="Times New Roman" w:eastAsia="楷体"/>
          <w:b/>
          <w:color w:val="800000"/>
          <w:sz w:val="30"/>
          <w:szCs w:val="30"/>
        </w:rPr>
        <w:br w:type="page"/>
      </w:r>
    </w:p>
    <w:p>
      <w:pPr>
        <w:spacing w:line="360" w:lineRule="auto"/>
        <w:jc w:val="center"/>
        <w:rPr>
          <w:rFonts w:ascii="Times New Roman" w:hAnsi="Times New Roman" w:eastAsia="楷体"/>
          <w:b/>
          <w:color w:val="411D05"/>
          <w:sz w:val="30"/>
          <w:szCs w:val="30"/>
        </w:rPr>
      </w:pPr>
      <w:bookmarkStart w:id="39" w:name="_Toc12779"/>
      <w:bookmarkStart w:id="40" w:name="_Toc98426751"/>
      <w:bookmarkStart w:id="41" w:name="_Toc71212556"/>
      <w:bookmarkStart w:id="42" w:name="_Toc19667"/>
      <w:bookmarkStart w:id="43" w:name="_Toc72481108"/>
      <w:r>
        <w:rPr>
          <w:rFonts w:ascii="Times New Roman" w:hAnsi="Times New Roman" w:eastAsia="楷体"/>
          <w:b/>
          <w:color w:val="411D05"/>
          <w:sz w:val="30"/>
          <w:szCs w:val="30"/>
        </w:rPr>
        <w:t>免责声明</w:t>
      </w:r>
      <w:bookmarkEnd w:id="39"/>
      <w:bookmarkEnd w:id="40"/>
      <w:bookmarkEnd w:id="41"/>
      <w:bookmarkEnd w:id="42"/>
      <w:bookmarkEnd w:id="43"/>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由广州期货股份有限公司（以下简称“本公司”）编制，本公司具有中国证监会许可的期货公司投资咨询业务资格，本报告基于合法取得的信息，但本公司对这些信息的准确性和完整性不作任何保证，也不保证所包含的信息和建议不会发生任何变更。</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我们已力求报告内容的客观、公正，但文中的观点、结论和建议仅供参考，并不构成所述品种的操作依据，投资者据此做出的任何投资决策与本公司和作者无关。在任何情况下，本公司以及雇员不对任何人因使用本报告中的任何内容所引发的任何直接或间接损失负任何责任。</w:t>
      </w:r>
    </w:p>
    <w:p>
      <w:pPr>
        <w:widowControl/>
        <w:ind w:firstLine="422" w:firstLineChars="200"/>
        <w:jc w:val="left"/>
        <w:rPr>
          <w:rFonts w:ascii="Times New Roman" w:hAnsi="Times New Roman" w:eastAsia="楷体"/>
          <w:b/>
          <w:bCs/>
          <w:color w:val="C00000"/>
        </w:rPr>
      </w:pPr>
      <w:r>
        <w:rPr>
          <w:rFonts w:hint="eastAsia" w:ascii="Times New Roman" w:hAnsi="Times New Roman" w:eastAsia="楷体"/>
          <w:b/>
          <w:bCs/>
          <w:color w:val="C00000"/>
        </w:rPr>
        <w:t>本报告版权归本公司所有，本公司保留所有权利。未经本公司事先书面许可，任何机构和个人不得以任何形式翻版、复制、引用或转载本报告的全部或部分内容，不得再次分发给任何其他人，或以任何侵犯本公司版权的其他方式使用。如引用、刊发，须注明出处为广州期货股份有限公司，且不得对本报告进行有悖原意的引用、删节和修改。</w:t>
      </w:r>
    </w:p>
    <w:p>
      <w:pPr>
        <w:ind w:firstLine="422" w:firstLineChars="200"/>
        <w:rPr>
          <w:rFonts w:ascii="Times New Roman" w:hAnsi="Times New Roman" w:eastAsia="楷体"/>
        </w:rPr>
      </w:pPr>
      <w:r>
        <w:rPr>
          <w:rFonts w:hint="eastAsia" w:ascii="Times New Roman" w:hAnsi="Times New Roman" w:eastAsia="楷体"/>
          <w:b/>
          <w:bCs/>
          <w:color w:val="C00000"/>
        </w:rPr>
        <w:t>广州期货股份有限公司提醒广大投资者：期市有风险，入市需谨慎！</w:t>
      </w:r>
    </w:p>
    <w:p>
      <w:pPr>
        <w:ind w:firstLine="420" w:firstLineChars="200"/>
        <w:rPr>
          <w:rFonts w:ascii="Times New Roman" w:hAnsi="Times New Roman" w:eastAsia="楷体"/>
        </w:rPr>
      </w:pPr>
    </w:p>
    <w:p>
      <w:pPr>
        <w:ind w:firstLine="420" w:firstLineChars="200"/>
        <w:rPr>
          <w:rFonts w:ascii="Times New Roman" w:hAnsi="Times New Roman" w:eastAsia="楷体"/>
        </w:rPr>
      </w:pPr>
    </w:p>
    <w:p>
      <w:pPr>
        <w:jc w:val="left"/>
        <w:rPr>
          <w:rFonts w:ascii="Times New Roman" w:hAnsi="Times New Roman" w:eastAsia="楷体"/>
          <w:b/>
          <w:color w:val="823C0B"/>
          <w:sz w:val="28"/>
        </w:rPr>
      </w:pPr>
      <w:r>
        <w:rPr>
          <w:rFonts w:ascii="Times New Roman" w:hAnsi="Times New Roman" w:eastAsia="楷体"/>
          <w:b/>
          <w:color w:val="823C0B"/>
          <w:sz w:val="28"/>
        </w:rPr>
        <w:t xml:space="preserve">投资咨询业务资格:证监许可【2012】1497号 </w:t>
      </w:r>
    </w:p>
    <w:p>
      <w:pPr>
        <w:ind w:firstLine="440" w:firstLineChars="200"/>
        <w:rPr>
          <w:rFonts w:ascii="Times New Roman" w:hAnsi="Times New Roman" w:eastAsia="楷体" w:cs="Times New Roman"/>
          <w:sz w:val="22"/>
        </w:rPr>
      </w:pPr>
    </w:p>
    <w:tbl>
      <w:tblPr>
        <w:tblStyle w:val="89"/>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60"/>
        <w:gridCol w:w="42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王荆杰</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F3084112</w:t>
            </w:r>
            <w:r>
              <w:rPr>
                <w:rFonts w:hint="eastAsia" w:ascii="Times New Roman" w:hAnsi="Times New Roman" w:eastAsia="楷体" w:cs="Times New Roman"/>
                <w:color w:val="823C0B"/>
                <w:sz w:val="22"/>
              </w:rPr>
              <w:t xml:space="preserve">    </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Z0016329</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范红军</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w:t>
            </w:r>
            <w:r>
              <w:rPr>
                <w:rFonts w:ascii="Times New Roman" w:hAnsi="Times New Roman" w:eastAsia="楷体" w:cs="Times New Roman"/>
                <w:color w:val="823C0B"/>
                <w:sz w:val="22"/>
              </w:rPr>
              <w:t>F03098791</w:t>
            </w:r>
          </w:p>
          <w:p>
            <w:pPr>
              <w:tabs>
                <w:tab w:val="left" w:pos="1842"/>
              </w:tabs>
              <w:rPr>
                <w:rFonts w:ascii="Times New Roman" w:hAnsi="Times New Roman" w:eastAsia="楷体" w:cs="Times New Roman"/>
                <w:b/>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：Z0017690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李代</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：F03086605</w:t>
            </w:r>
          </w:p>
          <w:p>
            <w:pPr>
              <w:tabs>
                <w:tab w:val="left" w:pos="1842"/>
              </w:tabs>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：Z0016791</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许克元</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：F3022666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：Z0013612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260"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谢紫琪</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：F3032560</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：Z0014338</w:t>
            </w:r>
          </w:p>
        </w:tc>
        <w:tc>
          <w:tcPr>
            <w:tcW w:w="4262" w:type="dxa"/>
          </w:tcPr>
          <w:p>
            <w:pPr>
              <w:tabs>
                <w:tab w:val="left" w:pos="1842"/>
              </w:tabs>
              <w:rPr>
                <w:rFonts w:ascii="Times New Roman" w:hAnsi="Times New Roman" w:eastAsia="楷体" w:cs="Times New Roman"/>
                <w:b/>
                <w:color w:val="823C0B"/>
                <w:sz w:val="22"/>
              </w:rPr>
            </w:pPr>
            <w:r>
              <w:rPr>
                <w:rFonts w:ascii="Times New Roman" w:hAnsi="Times New Roman" w:eastAsia="楷体" w:cs="Times New Roman"/>
                <w:b/>
                <w:color w:val="823C0B"/>
                <w:sz w:val="22"/>
              </w:rPr>
              <w:t>薛晴</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期货从业资格</w:t>
            </w:r>
            <w:r>
              <w:rPr>
                <w:rFonts w:hint="eastAsia" w:ascii="Times New Roman" w:hAnsi="Times New Roman" w:eastAsia="楷体" w:cs="Times New Roman"/>
                <w:color w:val="823C0B"/>
                <w:sz w:val="22"/>
              </w:rPr>
              <w:t>：F3035906</w:t>
            </w:r>
          </w:p>
          <w:p>
            <w:pPr>
              <w:rPr>
                <w:rFonts w:ascii="Times New Roman" w:hAnsi="Times New Roman" w:eastAsia="楷体" w:cs="Times New Roman"/>
                <w:color w:val="823C0B"/>
                <w:sz w:val="22"/>
              </w:rPr>
            </w:pPr>
            <w:r>
              <w:rPr>
                <w:rFonts w:ascii="Times New Roman" w:hAnsi="Times New Roman" w:eastAsia="楷体" w:cs="Times New Roman"/>
                <w:color w:val="823C0B"/>
                <w:sz w:val="22"/>
              </w:rPr>
              <w:t>投资咨询资格</w:t>
            </w:r>
            <w:r>
              <w:rPr>
                <w:rFonts w:hint="eastAsia" w:ascii="Times New Roman" w:hAnsi="Times New Roman" w:eastAsia="楷体" w:cs="Times New Roman"/>
                <w:color w:val="823C0B"/>
                <w:sz w:val="22"/>
              </w:rPr>
              <w:t>：Z0016940</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ind w:firstLine="420" w:firstLineChars="200"/>
        <w:rPr>
          <w:rFonts w:ascii="Times New Roman" w:hAnsi="Times New Roman" w:eastAsia="楷体"/>
        </w:rPr>
      </w:pPr>
    </w:p>
    <w:tbl>
      <w:tblPr>
        <w:tblStyle w:val="88"/>
        <w:tblW w:w="5000" w:type="pct"/>
        <w:jc w:val="center"/>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rPr>
          <w:jc w:val="center"/>
        </w:trPr>
        <w:tc>
          <w:tcPr>
            <w:tcW w:w="5000" w:type="pct"/>
            <w:shd w:val="clear" w:color="auto" w:fill="auto"/>
            <w:vAlign w:val="center"/>
          </w:tcPr>
          <w:p>
            <w:pPr>
              <w:rPr>
                <w:rFonts w:ascii="Times New Roman" w:hAnsi="Times New Roman" w:eastAsia="楷体"/>
                <w:b/>
                <w:bCs/>
                <w:color w:val="823C0B"/>
              </w:rPr>
            </w:pPr>
            <w:r>
              <w:rPr>
                <w:rFonts w:ascii="Times New Roman" w:hAnsi="Times New Roman" w:eastAsia="楷体"/>
                <w:bCs/>
                <w:color w:val="823C0B"/>
              </w:rPr>
              <w:t>办公地址：广州市天河区</w:t>
            </w:r>
            <w:r>
              <w:rPr>
                <w:rFonts w:hint="eastAsia" w:ascii="Times New Roman" w:hAnsi="Times New Roman" w:eastAsia="楷体"/>
                <w:bCs/>
                <w:color w:val="823C0B"/>
              </w:rPr>
              <w:t>临江大道1号寺右万科中心南塔</w:t>
            </w:r>
            <w:r>
              <w:rPr>
                <w:rFonts w:ascii="Times New Roman" w:hAnsi="Times New Roman" w:eastAsia="楷体"/>
                <w:bCs/>
                <w:color w:val="823C0B"/>
              </w:rPr>
              <w:t>6</w:t>
            </w:r>
            <w:r>
              <w:rPr>
                <w:rFonts w:hint="eastAsia" w:ascii="Times New Roman" w:hAnsi="Times New Roman" w:eastAsia="楷体"/>
                <w:bCs/>
                <w:color w:val="823C0B"/>
              </w:rPr>
              <w:t>层</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color w:val="823C0B"/>
              </w:rPr>
            </w:pPr>
            <w:r>
              <w:rPr>
                <w:rFonts w:hint="eastAsia" w:ascii="Times New Roman" w:hAnsi="Times New Roman" w:eastAsia="楷体"/>
                <w:bCs/>
                <w:color w:val="823C0B"/>
              </w:rPr>
              <w:t>联系方式: (020)22836102</w:t>
            </w:r>
          </w:p>
        </w:tc>
      </w:tr>
      <w:tr>
        <w:tblPrEx>
          <w:tblCellMar>
            <w:top w:w="0" w:type="dxa"/>
            <w:left w:w="108" w:type="dxa"/>
            <w:bottom w:w="0" w:type="dxa"/>
            <w:right w:w="108" w:type="dxa"/>
          </w:tblCellMar>
        </w:tblPrEx>
        <w:trPr>
          <w:jc w:val="center"/>
        </w:trPr>
        <w:tc>
          <w:tcPr>
            <w:tcW w:w="5000" w:type="pct"/>
            <w:shd w:val="clear" w:color="auto" w:fill="auto"/>
            <w:vAlign w:val="center"/>
          </w:tcPr>
          <w:p>
            <w:pPr>
              <w:jc w:val="left"/>
              <w:rPr>
                <w:rFonts w:ascii="Times New Roman" w:hAnsi="Times New Roman" w:eastAsia="楷体"/>
                <w:bCs/>
                <w:color w:val="823C0B"/>
              </w:rPr>
            </w:pPr>
            <w:r>
              <w:rPr>
                <w:rFonts w:ascii="Times New Roman" w:hAnsi="Times New Roman" w:eastAsia="楷体"/>
                <w:bCs/>
                <w:color w:val="823C0B"/>
              </w:rPr>
              <w:t>邮政编码：510627</w:t>
            </w:r>
          </w:p>
        </w:tc>
      </w:tr>
    </w:tbl>
    <w:p>
      <w:pPr>
        <w:ind w:firstLine="420" w:firstLineChars="200"/>
        <w:rPr>
          <w:rFonts w:ascii="Times New Roman" w:hAnsi="Times New Roman" w:eastAsia="楷体"/>
        </w:rPr>
      </w:pPr>
    </w:p>
    <w:p>
      <w:pPr>
        <w:ind w:firstLine="420" w:firstLineChars="200"/>
        <w:rPr>
          <w:rFonts w:ascii="Times New Roman" w:hAnsi="Times New Roman" w:eastAsia="楷体"/>
        </w:rPr>
      </w:pPr>
    </w:p>
    <w:p>
      <w:pPr>
        <w:pBdr>
          <w:top w:val="none" w:color="auto" w:sz="0" w:space="1"/>
          <w:left w:val="none" w:color="auto" w:sz="0" w:space="4"/>
          <w:bottom w:val="none" w:color="auto" w:sz="0" w:space="1"/>
          <w:right w:val="none" w:color="auto" w:sz="0" w:space="4"/>
        </w:pBdr>
      </w:pPr>
    </w:p>
    <w:sectPr>
      <w:footerReference r:id="rId7" w:type="first"/>
      <w:footerReference r:id="rId6" w:type="default"/>
      <w:pgSz w:w="11906" w:h="16838"/>
      <w:pgMar w:top="1440" w:right="1800" w:bottom="1440" w:left="1800" w:header="850" w:footer="1077"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Microsoft YaHei UI">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w:rPr>
        <w:rFonts w:hint="eastAsia" w:ascii="楷体" w:hAnsi="楷体" w:eastAsia="楷体" w:cs="Times New Roman"/>
        <w:b/>
        <w:color w:val="833C0B"/>
        <w:sz w:val="21"/>
        <w:lang w:bidi="ar"/>
      </w:rPr>
      <w:t>广州期货提醒各位投资者，期市有风险，入市需谨慎！请阅读文末免责声明</w:t>
    </w:r>
    <w: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 1</w:t>
                    </w:r>
                  </w:p>
                </w:txbxContent>
              </v:textbox>
            </v:shape>
          </w:pict>
        </mc:Fallback>
      </mc:AlternateContent>
    </w:r>
    <w:r>
      <w:rPr>
        <w:rFonts w:hint="eastAsia" w:ascii="楷体" w:hAnsi="楷体" w:eastAsia="楷体" w:cs="Times New Roman"/>
        <w:b/>
        <w:color w:val="833C0B"/>
        <w:sz w:val="21"/>
        <w:lang w:bidi="a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Bdr>
        <w:top w:val="single" w:color="000000" w:sz="4" w:space="0"/>
      </w:pBdr>
      <w:jc w:val="both"/>
    </w:pPr>
    <w:r>
      <mc:AlternateContent>
        <mc:Choice Requires="wps">
          <w:drawing>
            <wp:anchor distT="0" distB="0" distL="114300" distR="114300" simplePos="0" relativeHeight="251662336" behindDoc="0" locked="0" layoutInCell="1" allowOverlap="1">
              <wp:simplePos x="0" y="0"/>
              <wp:positionH relativeFrom="margin">
                <wp:posOffset>4894580</wp:posOffset>
              </wp:positionH>
              <wp:positionV relativeFrom="paragraph">
                <wp:posOffset>-10795</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385.4pt;margin-top:-0.85pt;height:144pt;width:144pt;mso-position-horizontal-relative:margin;mso-wrap-style:none;z-index:251662336;mso-width-relative:page;mso-height-relative:page;" filled="f" stroked="f" coordsize="21600,21600" o:gfxdata="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MpUetTYAAAACwEAAA8AAAAAAAAAAQAgAAAAIgAAAGRycy9kb3ducmV2LnhtbFBLAQIU&#10;ABQAAAAIAIdO4kAXDIm4LAIAAFUEAAAOAAAAAAAAAAEAIAAAACcBAABkcnMvZTJvRG9jLnhtbFBL&#10;BQYAAAAABgAGAFkBAADFBQAAAAA=&#10;">
              <v:fill on="f" focussize="0,0"/>
              <v:stroke on="f" weight="0.5pt"/>
              <v:imagedata o:title=""/>
              <o:lock v:ext="edit" aspectratio="f"/>
              <v:textbox inset="0mm,0mm,0mm,0mm" style="mso-fit-shape-to-text:t;">
                <w:txbxContent>
                  <w:p>
                    <w:pPr>
                      <w:pStyle w:val="55"/>
                      <w:rPr>
                        <w:rFonts w:ascii="Times New Roman" w:hAnsi="Times New Roman" w:eastAsia="楷体" w:cs="Times New Roman"/>
                        <w:b/>
                        <w:color w:val="833C0B"/>
                        <w:sz w:val="21"/>
                        <w:lang w:bidi="ar"/>
                      </w:rPr>
                    </w:pPr>
                    <w:r>
                      <w:rPr>
                        <w:rFonts w:hint="eastAsia" w:ascii="Times New Roman" w:hAnsi="Times New Roman" w:eastAsia="楷体" w:cs="Times New Roman"/>
                        <w:b/>
                        <w:color w:val="833C0B"/>
                        <w:sz w:val="21"/>
                        <w:lang w:bidi="ar"/>
                      </w:rPr>
                      <w:t>Page</w:t>
                    </w:r>
                  </w:p>
                </w:txbxContent>
              </v:textbox>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55"/>
                    </w:pPr>
                    <w:r>
                      <w:rPr>
                        <w:rFonts w:hint="eastAsia" w:ascii="Times New Roman" w:hAnsi="Times New Roman" w:eastAsia="楷体" w:cs="Times New Roman"/>
                        <w:b/>
                        <w:color w:val="833C0B"/>
                        <w:sz w:val="21"/>
                        <w:lang w:bidi="ar"/>
                      </w:rPr>
                      <w:fldChar w:fldCharType="begin"/>
                    </w:r>
                    <w:r>
                      <w:rPr>
                        <w:rFonts w:hint="eastAsia" w:ascii="Times New Roman" w:hAnsi="Times New Roman" w:eastAsia="楷体" w:cs="Times New Roman"/>
                        <w:b/>
                        <w:color w:val="833C0B"/>
                        <w:sz w:val="21"/>
                        <w:lang w:bidi="ar"/>
                      </w:rPr>
                      <w:instrText xml:space="preserve"> PAGE  \* MERGEFORMAT </w:instrText>
                    </w:r>
                    <w:r>
                      <w:rPr>
                        <w:rFonts w:hint="eastAsia" w:ascii="Times New Roman" w:hAnsi="Times New Roman" w:eastAsia="楷体" w:cs="Times New Roman"/>
                        <w:b/>
                        <w:color w:val="833C0B"/>
                        <w:sz w:val="21"/>
                        <w:lang w:bidi="ar"/>
                      </w:rPr>
                      <w:fldChar w:fldCharType="separate"/>
                    </w:r>
                    <w:r>
                      <w:rPr>
                        <w:rFonts w:ascii="Times New Roman" w:hAnsi="Times New Roman" w:eastAsia="楷体" w:cs="Times New Roman"/>
                        <w:b/>
                        <w:color w:val="833C0B"/>
                        <w:sz w:val="21"/>
                        <w:lang w:bidi="ar"/>
                      </w:rPr>
                      <w:t>1</w:t>
                    </w:r>
                    <w:r>
                      <w:rPr>
                        <w:rFonts w:hint="eastAsia" w:ascii="Times New Roman" w:hAnsi="Times New Roman" w:eastAsia="楷体" w:cs="Times New Roman"/>
                        <w:b/>
                        <w:color w:val="833C0B"/>
                        <w:sz w:val="21"/>
                        <w:lang w:bidi="ar"/>
                      </w:rPr>
                      <w:fldChar w:fldCharType="end"/>
                    </w:r>
                  </w:p>
                </w:txbxContent>
              </v:textbox>
            </v:shape>
          </w:pict>
        </mc:Fallback>
      </mc:AlternateContent>
    </w:r>
    <w:r>
      <w:rPr>
        <w:rFonts w:hint="eastAsia" w:ascii="楷体" w:hAnsi="楷体" w:eastAsia="楷体" w:cs="Times New Roman"/>
        <w:b/>
        <w:color w:val="833C0B"/>
        <w:sz w:val="21"/>
        <w:lang w:bidi="ar"/>
      </w:rPr>
      <w:t>广州期货提醒各位投资者，期市有风险，入市需谨慎！请阅读文末免责声明。</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55"/>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pPr>
    <w:r>
      <w:drawing>
        <wp:anchor distT="0" distB="0" distL="114300" distR="114300" simplePos="0" relativeHeight="251659264" behindDoc="0" locked="0" layoutInCell="1" allowOverlap="1">
          <wp:simplePos x="0" y="0"/>
          <wp:positionH relativeFrom="column">
            <wp:posOffset>0</wp:posOffset>
          </wp:positionH>
          <wp:positionV relativeFrom="paragraph">
            <wp:posOffset>-164465</wp:posOffset>
          </wp:positionV>
          <wp:extent cx="1774190" cy="469265"/>
          <wp:effectExtent l="0" t="0" r="16510" b="6985"/>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p>
  <w:p>
    <w:pPr>
      <w:pStyle w:val="57"/>
      <w:pBdr>
        <w:bottom w:val="single" w:color="auto" w:sz="4" w:space="1"/>
      </w:pBdr>
      <w:jc w:val="right"/>
      <w:rPr>
        <w:b/>
        <w:bCs/>
      </w:rPr>
    </w:pPr>
    <w:r>
      <w:ptab w:relativeTo="margin" w:alignment="center" w:leader="none"/>
    </w:r>
    <w:r>
      <w:rPr>
        <w:rFonts w:hint="eastAsia" w:ascii="Times New Roman" w:hAnsi="Times New Roman" w:eastAsia="楷体"/>
        <w:b/>
        <w:bCs/>
        <w:color w:val="833C0B"/>
        <w:sz w:val="21"/>
      </w:rPr>
      <w:t>早间直通车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right"/>
      <w:rPr>
        <w:rFonts w:ascii="Times New Roman" w:hAnsi="Times New Roman" w:eastAsia="楷体"/>
        <w:b/>
        <w:bCs/>
        <w:color w:val="833C0B"/>
        <w:sz w:val="21"/>
      </w:rPr>
    </w:pPr>
    <w:r>
      <w:ptab w:relativeTo="margin" w:alignment="center" w:leader="none"/>
    </w:r>
    <w:r>
      <w:drawing>
        <wp:anchor distT="0" distB="0" distL="114300" distR="114300" simplePos="0" relativeHeight="251661312" behindDoc="0" locked="0" layoutInCell="1" allowOverlap="1">
          <wp:simplePos x="0" y="0"/>
          <wp:positionH relativeFrom="column">
            <wp:posOffset>0</wp:posOffset>
          </wp:positionH>
          <wp:positionV relativeFrom="paragraph">
            <wp:posOffset>-180975</wp:posOffset>
          </wp:positionV>
          <wp:extent cx="1774190" cy="469265"/>
          <wp:effectExtent l="0" t="0" r="16510" b="6985"/>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
                  <a:stretch>
                    <a:fillRect/>
                  </a:stretch>
                </pic:blipFill>
                <pic:spPr>
                  <a:xfrm>
                    <a:off x="0" y="0"/>
                    <a:ext cx="1774190" cy="469265"/>
                  </a:xfrm>
                  <a:prstGeom prst="rect">
                    <a:avLst/>
                  </a:prstGeom>
                  <a:noFill/>
                  <a:ln>
                    <a:noFill/>
                  </a:ln>
                </pic:spPr>
              </pic:pic>
            </a:graphicData>
          </a:graphic>
        </wp:anchor>
      </w:drawing>
    </w:r>
    <w:r>
      <w:rPr>
        <w:rFonts w:hint="eastAsia" w:ascii="Times New Roman" w:hAnsi="Times New Roman" w:eastAsia="楷体"/>
        <w:b/>
        <w:bCs/>
        <w:color w:val="833C0B"/>
        <w:sz w:val="21"/>
      </w:rPr>
      <w:t>早间直通车</w:t>
    </w:r>
  </w:p>
  <w:p>
    <w:pPr>
      <w:pStyle w:val="57"/>
      <w:pBdr>
        <w:bottom w:val="single" w:color="auto" w:sz="4" w:space="1"/>
      </w:pBdr>
      <w:jc w:val="right"/>
    </w:pPr>
    <w:r>
      <w:rPr>
        <w:rFonts w:ascii="Times New Roman" w:hAnsi="Times New Roman" w:eastAsia="楷体"/>
        <w:b/>
        <w:bCs/>
        <w:color w:val="833C0B"/>
        <w:sz w:val="21"/>
      </w:rPr>
      <w:fldChar w:fldCharType="begin"/>
    </w:r>
    <w:r>
      <w:rPr>
        <w:rFonts w:ascii="Times New Roman" w:hAnsi="Times New Roman" w:eastAsia="楷体"/>
        <w:b/>
        <w:bCs/>
        <w:color w:val="833C0B"/>
        <w:sz w:val="21"/>
      </w:rPr>
      <w:instrText xml:space="preserve"> </w:instrText>
    </w:r>
    <w:r>
      <w:rPr>
        <w:rFonts w:hint="eastAsia" w:ascii="Times New Roman" w:hAnsi="Times New Roman" w:eastAsia="楷体"/>
        <w:b/>
        <w:bCs/>
        <w:color w:val="833C0B"/>
        <w:sz w:val="21"/>
      </w:rPr>
      <w:instrText xml:space="preserve">TIME \@ "yyyy年M月d日星期W"</w:instrText>
    </w:r>
    <w:r>
      <w:rPr>
        <w:rFonts w:ascii="Times New Roman" w:hAnsi="Times New Roman" w:eastAsia="楷体"/>
        <w:b/>
        <w:bCs/>
        <w:color w:val="833C0B"/>
        <w:sz w:val="21"/>
      </w:rPr>
      <w:instrText xml:space="preserve"> </w:instrText>
    </w:r>
    <w:r>
      <w:rPr>
        <w:rFonts w:ascii="Times New Roman" w:hAnsi="Times New Roman" w:eastAsia="楷体"/>
        <w:b/>
        <w:bCs/>
        <w:color w:val="833C0B"/>
        <w:sz w:val="21"/>
      </w:rPr>
      <w:fldChar w:fldCharType="separate"/>
    </w:r>
    <w:r>
      <w:rPr>
        <w:rFonts w:hint="eastAsia" w:ascii="Times New Roman" w:hAnsi="Times New Roman" w:eastAsia="楷体"/>
        <w:b/>
        <w:bCs/>
        <w:color w:val="833C0B"/>
        <w:sz w:val="21"/>
      </w:rPr>
      <w:t>2024年3月6日星期三</w:t>
    </w:r>
    <w:r>
      <w:rPr>
        <w:rFonts w:ascii="Times New Roman" w:hAnsi="Times New Roman" w:eastAsia="楷体"/>
        <w:b/>
        <w:bCs/>
        <w:color w:val="833C0B"/>
        <w:sz w:val="2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C"/>
    <w:multiLevelType w:val="singleLevel"/>
    <w:tmpl w:val="FFFFFF7C"/>
    <w:lvl w:ilvl="0" w:tentative="0">
      <w:start w:val="1"/>
      <w:numFmt w:val="decimal"/>
      <w:pStyle w:val="65"/>
      <w:lvlText w:val="%1."/>
      <w:lvlJc w:val="left"/>
      <w:pPr>
        <w:tabs>
          <w:tab w:val="left" w:pos="2040"/>
        </w:tabs>
        <w:ind w:left="2040" w:leftChars="800" w:hanging="360" w:hangingChars="200"/>
      </w:pPr>
    </w:lvl>
  </w:abstractNum>
  <w:abstractNum w:abstractNumId="1">
    <w:nsid w:val="FFFFFF7D"/>
    <w:multiLevelType w:val="singleLevel"/>
    <w:tmpl w:val="FFFFFF7D"/>
    <w:lvl w:ilvl="0" w:tentative="0">
      <w:start w:val="1"/>
      <w:numFmt w:val="decimal"/>
      <w:pStyle w:val="47"/>
      <w:lvlText w:val="%1."/>
      <w:lvlJc w:val="left"/>
      <w:pPr>
        <w:tabs>
          <w:tab w:val="left" w:pos="1620"/>
        </w:tabs>
        <w:ind w:left="1620" w:leftChars="600" w:hanging="360" w:hangingChars="200"/>
      </w:pPr>
    </w:lvl>
  </w:abstractNum>
  <w:abstractNum w:abstractNumId="2">
    <w:nsid w:val="FFFFFF7E"/>
    <w:multiLevelType w:val="singleLevel"/>
    <w:tmpl w:val="FFFFFF7E"/>
    <w:lvl w:ilvl="0" w:tentative="0">
      <w:start w:val="1"/>
      <w:numFmt w:val="decimal"/>
      <w:pStyle w:val="36"/>
      <w:lvlText w:val="%1."/>
      <w:lvlJc w:val="left"/>
      <w:pPr>
        <w:tabs>
          <w:tab w:val="left" w:pos="1200"/>
        </w:tabs>
        <w:ind w:left="1200" w:leftChars="400" w:hanging="360" w:hangingChars="200"/>
      </w:pPr>
    </w:lvl>
  </w:abstractNum>
  <w:abstractNum w:abstractNumId="3">
    <w:nsid w:val="FFFFFF7F"/>
    <w:multiLevelType w:val="singleLevel"/>
    <w:tmpl w:val="FFFFFF7F"/>
    <w:lvl w:ilvl="0" w:tentative="0">
      <w:start w:val="1"/>
      <w:numFmt w:val="decimal"/>
      <w:pStyle w:val="14"/>
      <w:lvlText w:val="%1."/>
      <w:lvlJc w:val="left"/>
      <w:pPr>
        <w:tabs>
          <w:tab w:val="left" w:pos="780"/>
        </w:tabs>
        <w:ind w:left="780" w:leftChars="200" w:hanging="360" w:hangingChars="200"/>
      </w:pPr>
    </w:lvl>
  </w:abstractNum>
  <w:abstractNum w:abstractNumId="4">
    <w:nsid w:val="FFFFFF80"/>
    <w:multiLevelType w:val="singleLevel"/>
    <w:tmpl w:val="FFFFFF80"/>
    <w:lvl w:ilvl="0" w:tentative="0">
      <w:start w:val="1"/>
      <w:numFmt w:val="bullet"/>
      <w:pStyle w:val="46"/>
      <w:lvlText w:val=""/>
      <w:lvlJc w:val="left"/>
      <w:pPr>
        <w:tabs>
          <w:tab w:val="left" w:pos="2040"/>
        </w:tabs>
        <w:ind w:left="2040" w:leftChars="800" w:hanging="360" w:hangingChars="200"/>
      </w:pPr>
      <w:rPr>
        <w:rFonts w:hint="default" w:ascii="Wingdings" w:hAnsi="Wingdings"/>
      </w:rPr>
    </w:lvl>
  </w:abstractNum>
  <w:abstractNum w:abstractNumId="5">
    <w:nsid w:val="FFFFFF81"/>
    <w:multiLevelType w:val="singleLevel"/>
    <w:tmpl w:val="FFFFFF81"/>
    <w:lvl w:ilvl="0" w:tentative="0">
      <w:start w:val="1"/>
      <w:numFmt w:val="bullet"/>
      <w:pStyle w:val="17"/>
      <w:lvlText w:val=""/>
      <w:lvlJc w:val="left"/>
      <w:pPr>
        <w:tabs>
          <w:tab w:val="left" w:pos="1620"/>
        </w:tabs>
        <w:ind w:left="1620" w:leftChars="600" w:hanging="360" w:hangingChars="200"/>
      </w:pPr>
      <w:rPr>
        <w:rFonts w:hint="default" w:ascii="Wingdings" w:hAnsi="Wingdings"/>
      </w:rPr>
    </w:lvl>
  </w:abstractNum>
  <w:abstractNum w:abstractNumId="6">
    <w:nsid w:val="FFFFFF82"/>
    <w:multiLevelType w:val="singleLevel"/>
    <w:tmpl w:val="FFFFFF82"/>
    <w:lvl w:ilvl="0" w:tentative="0">
      <w:start w:val="1"/>
      <w:numFmt w:val="bullet"/>
      <w:pStyle w:val="33"/>
      <w:lvlText w:val=""/>
      <w:lvlJc w:val="left"/>
      <w:pPr>
        <w:tabs>
          <w:tab w:val="left" w:pos="1200"/>
        </w:tabs>
        <w:ind w:left="1200" w:leftChars="400" w:hanging="360" w:hangingChars="200"/>
      </w:pPr>
      <w:rPr>
        <w:rFonts w:hint="default" w:ascii="Wingdings" w:hAnsi="Wingdings"/>
      </w:rPr>
    </w:lvl>
  </w:abstractNum>
  <w:abstractNum w:abstractNumId="7">
    <w:nsid w:val="FFFFFF83"/>
    <w:multiLevelType w:val="singleLevel"/>
    <w:tmpl w:val="FFFFFF83"/>
    <w:lvl w:ilvl="0" w:tentative="0">
      <w:start w:val="1"/>
      <w:numFmt w:val="bullet"/>
      <w:pStyle w:val="40"/>
      <w:lvlText w:val=""/>
      <w:lvlJc w:val="left"/>
      <w:pPr>
        <w:tabs>
          <w:tab w:val="left" w:pos="780"/>
        </w:tabs>
        <w:ind w:left="780" w:leftChars="200" w:hanging="360" w:hangingChars="200"/>
      </w:pPr>
      <w:rPr>
        <w:rFonts w:hint="default" w:ascii="Wingdings" w:hAnsi="Wingdings"/>
      </w:rPr>
    </w:lvl>
  </w:abstractNum>
  <w:abstractNum w:abstractNumId="8">
    <w:nsid w:val="FFFFFF88"/>
    <w:multiLevelType w:val="singleLevel"/>
    <w:tmpl w:val="FFFFFF88"/>
    <w:lvl w:ilvl="0" w:tentative="0">
      <w:start w:val="1"/>
      <w:numFmt w:val="decimal"/>
      <w:pStyle w:val="20"/>
      <w:lvlText w:val="%1."/>
      <w:lvlJc w:val="left"/>
      <w:pPr>
        <w:tabs>
          <w:tab w:val="left" w:pos="360"/>
        </w:tabs>
        <w:ind w:left="360" w:hanging="360" w:hangingChars="200"/>
      </w:pPr>
    </w:lvl>
  </w:abstractNum>
  <w:abstractNum w:abstractNumId="9">
    <w:nsid w:val="FFFFFF89"/>
    <w:multiLevelType w:val="singleLevel"/>
    <w:tmpl w:val="FFFFFF89"/>
    <w:lvl w:ilvl="0" w:tentative="0">
      <w:start w:val="1"/>
      <w:numFmt w:val="bullet"/>
      <w:pStyle w:val="24"/>
      <w:lvlText w:val=""/>
      <w:lvlJc w:val="left"/>
      <w:pPr>
        <w:tabs>
          <w:tab w:val="left" w:pos="360"/>
        </w:tabs>
        <w:ind w:left="360" w:hanging="360" w:hangingChars="200"/>
      </w:pPr>
      <w:rPr>
        <w:rFonts w:hint="default" w:ascii="Wingdings" w:hAnsi="Wingdings"/>
      </w:rPr>
    </w:lvl>
  </w:abstractNum>
  <w:num w:numId="1">
    <w:abstractNumId w:val="3"/>
  </w:num>
  <w:num w:numId="2">
    <w:abstractNumId w:val="5"/>
  </w:num>
  <w:num w:numId="3">
    <w:abstractNumId w:val="8"/>
  </w:num>
  <w:num w:numId="4">
    <w:abstractNumId w:val="9"/>
  </w:num>
  <w:num w:numId="5">
    <w:abstractNumId w:val="6"/>
  </w:num>
  <w:num w:numId="6">
    <w:abstractNumId w:val="2"/>
  </w:num>
  <w:num w:numId="7">
    <w:abstractNumId w:val="7"/>
  </w:num>
  <w:num w:numId="8">
    <w:abstractNumId w:val="4"/>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ljYzUzMWQ4OWI0YzBkYjYzMDRhZTY5ZjZkYmFmYTgifQ=="/>
  </w:docVars>
  <w:rsids>
    <w:rsidRoot w:val="3B3306F0"/>
    <w:rsid w:val="00003BBB"/>
    <w:rsid w:val="0000534E"/>
    <w:rsid w:val="000058D8"/>
    <w:rsid w:val="00006269"/>
    <w:rsid w:val="00010BF8"/>
    <w:rsid w:val="00012A9A"/>
    <w:rsid w:val="000151C6"/>
    <w:rsid w:val="00020E82"/>
    <w:rsid w:val="00024902"/>
    <w:rsid w:val="000249A6"/>
    <w:rsid w:val="00024C21"/>
    <w:rsid w:val="00032A7A"/>
    <w:rsid w:val="00035EB2"/>
    <w:rsid w:val="000417D7"/>
    <w:rsid w:val="00050B6C"/>
    <w:rsid w:val="0005286B"/>
    <w:rsid w:val="0005726F"/>
    <w:rsid w:val="00057E99"/>
    <w:rsid w:val="00060F08"/>
    <w:rsid w:val="00072E13"/>
    <w:rsid w:val="00072EAA"/>
    <w:rsid w:val="00073CEF"/>
    <w:rsid w:val="00076420"/>
    <w:rsid w:val="000820C6"/>
    <w:rsid w:val="0008229A"/>
    <w:rsid w:val="00093E40"/>
    <w:rsid w:val="00094BAE"/>
    <w:rsid w:val="00096258"/>
    <w:rsid w:val="000A390A"/>
    <w:rsid w:val="000A413E"/>
    <w:rsid w:val="000A476D"/>
    <w:rsid w:val="000B0648"/>
    <w:rsid w:val="000B4E70"/>
    <w:rsid w:val="000B56D3"/>
    <w:rsid w:val="000C102A"/>
    <w:rsid w:val="000C3C5C"/>
    <w:rsid w:val="000C475E"/>
    <w:rsid w:val="000C4F17"/>
    <w:rsid w:val="000D36DC"/>
    <w:rsid w:val="000D42E2"/>
    <w:rsid w:val="000D7CF0"/>
    <w:rsid w:val="000E03FC"/>
    <w:rsid w:val="000E0968"/>
    <w:rsid w:val="000E0C15"/>
    <w:rsid w:val="000E4EEB"/>
    <w:rsid w:val="00115EEA"/>
    <w:rsid w:val="00117470"/>
    <w:rsid w:val="00120B1F"/>
    <w:rsid w:val="00121DBA"/>
    <w:rsid w:val="0012609D"/>
    <w:rsid w:val="001275B7"/>
    <w:rsid w:val="00127803"/>
    <w:rsid w:val="00127FF1"/>
    <w:rsid w:val="00147668"/>
    <w:rsid w:val="00147B03"/>
    <w:rsid w:val="0015047B"/>
    <w:rsid w:val="00152664"/>
    <w:rsid w:val="001529BB"/>
    <w:rsid w:val="00155A0F"/>
    <w:rsid w:val="00156FEB"/>
    <w:rsid w:val="001579F3"/>
    <w:rsid w:val="00163783"/>
    <w:rsid w:val="00163984"/>
    <w:rsid w:val="00170E7B"/>
    <w:rsid w:val="00170EDF"/>
    <w:rsid w:val="001801C4"/>
    <w:rsid w:val="0018476D"/>
    <w:rsid w:val="0018678E"/>
    <w:rsid w:val="001942CB"/>
    <w:rsid w:val="001945E9"/>
    <w:rsid w:val="001A3E49"/>
    <w:rsid w:val="001A44F9"/>
    <w:rsid w:val="001B0610"/>
    <w:rsid w:val="001B179D"/>
    <w:rsid w:val="001B1904"/>
    <w:rsid w:val="001B25C9"/>
    <w:rsid w:val="001B2D4C"/>
    <w:rsid w:val="001B6043"/>
    <w:rsid w:val="001B6394"/>
    <w:rsid w:val="001B6B7D"/>
    <w:rsid w:val="001C267B"/>
    <w:rsid w:val="001C2E87"/>
    <w:rsid w:val="001C77D0"/>
    <w:rsid w:val="001D1F0A"/>
    <w:rsid w:val="001D40EA"/>
    <w:rsid w:val="001D4474"/>
    <w:rsid w:val="001D5419"/>
    <w:rsid w:val="001D6E4C"/>
    <w:rsid w:val="001D7D0A"/>
    <w:rsid w:val="001E1A3C"/>
    <w:rsid w:val="001E3813"/>
    <w:rsid w:val="001F5070"/>
    <w:rsid w:val="001F5438"/>
    <w:rsid w:val="001F7531"/>
    <w:rsid w:val="001F79C6"/>
    <w:rsid w:val="002006C2"/>
    <w:rsid w:val="00201944"/>
    <w:rsid w:val="00206537"/>
    <w:rsid w:val="002074A1"/>
    <w:rsid w:val="00216C1E"/>
    <w:rsid w:val="00226406"/>
    <w:rsid w:val="0023093E"/>
    <w:rsid w:val="00230DB7"/>
    <w:rsid w:val="00235529"/>
    <w:rsid w:val="00244CA3"/>
    <w:rsid w:val="0025590B"/>
    <w:rsid w:val="00264E6F"/>
    <w:rsid w:val="00267FFD"/>
    <w:rsid w:val="0027652F"/>
    <w:rsid w:val="00282262"/>
    <w:rsid w:val="00284165"/>
    <w:rsid w:val="00285297"/>
    <w:rsid w:val="00291461"/>
    <w:rsid w:val="00292AE8"/>
    <w:rsid w:val="002951EB"/>
    <w:rsid w:val="00296325"/>
    <w:rsid w:val="00297A1B"/>
    <w:rsid w:val="002A0670"/>
    <w:rsid w:val="002A6C89"/>
    <w:rsid w:val="002B0F87"/>
    <w:rsid w:val="002B2257"/>
    <w:rsid w:val="002B294F"/>
    <w:rsid w:val="002B2B4E"/>
    <w:rsid w:val="002B32AE"/>
    <w:rsid w:val="002B32FF"/>
    <w:rsid w:val="002C0C59"/>
    <w:rsid w:val="002C73FE"/>
    <w:rsid w:val="002D7FC5"/>
    <w:rsid w:val="002F075C"/>
    <w:rsid w:val="002F545E"/>
    <w:rsid w:val="002F6AD1"/>
    <w:rsid w:val="002F7810"/>
    <w:rsid w:val="0031065A"/>
    <w:rsid w:val="00320AB1"/>
    <w:rsid w:val="00321629"/>
    <w:rsid w:val="003230A0"/>
    <w:rsid w:val="00323550"/>
    <w:rsid w:val="003238A5"/>
    <w:rsid w:val="00330C71"/>
    <w:rsid w:val="0033167B"/>
    <w:rsid w:val="00332216"/>
    <w:rsid w:val="00332F22"/>
    <w:rsid w:val="0033644D"/>
    <w:rsid w:val="003416C2"/>
    <w:rsid w:val="00341727"/>
    <w:rsid w:val="00344AED"/>
    <w:rsid w:val="003471F4"/>
    <w:rsid w:val="003523FF"/>
    <w:rsid w:val="00357545"/>
    <w:rsid w:val="00370D25"/>
    <w:rsid w:val="00371ED6"/>
    <w:rsid w:val="00374836"/>
    <w:rsid w:val="00375F0B"/>
    <w:rsid w:val="00376AF1"/>
    <w:rsid w:val="00380E38"/>
    <w:rsid w:val="00381978"/>
    <w:rsid w:val="00383B5C"/>
    <w:rsid w:val="0038626D"/>
    <w:rsid w:val="0038677D"/>
    <w:rsid w:val="003953FD"/>
    <w:rsid w:val="003A1F3C"/>
    <w:rsid w:val="003A3DB4"/>
    <w:rsid w:val="003A5DDB"/>
    <w:rsid w:val="003C32DB"/>
    <w:rsid w:val="003C4855"/>
    <w:rsid w:val="003C54F5"/>
    <w:rsid w:val="003C5F91"/>
    <w:rsid w:val="003C70A3"/>
    <w:rsid w:val="003D3A9E"/>
    <w:rsid w:val="003F2424"/>
    <w:rsid w:val="003F43FB"/>
    <w:rsid w:val="003F56A5"/>
    <w:rsid w:val="00404AFE"/>
    <w:rsid w:val="004123EF"/>
    <w:rsid w:val="0041664D"/>
    <w:rsid w:val="004177A8"/>
    <w:rsid w:val="004201F5"/>
    <w:rsid w:val="004230AC"/>
    <w:rsid w:val="00426AB5"/>
    <w:rsid w:val="00430222"/>
    <w:rsid w:val="00433C64"/>
    <w:rsid w:val="00440FBE"/>
    <w:rsid w:val="004427D1"/>
    <w:rsid w:val="00443773"/>
    <w:rsid w:val="00452F14"/>
    <w:rsid w:val="004567BD"/>
    <w:rsid w:val="00461147"/>
    <w:rsid w:val="004648E2"/>
    <w:rsid w:val="0047103A"/>
    <w:rsid w:val="00481046"/>
    <w:rsid w:val="00484C53"/>
    <w:rsid w:val="00485A3F"/>
    <w:rsid w:val="00486646"/>
    <w:rsid w:val="00487F77"/>
    <w:rsid w:val="00490056"/>
    <w:rsid w:val="00491DD7"/>
    <w:rsid w:val="00495F18"/>
    <w:rsid w:val="004977A9"/>
    <w:rsid w:val="004A1926"/>
    <w:rsid w:val="004A382D"/>
    <w:rsid w:val="004A3F85"/>
    <w:rsid w:val="004A65B5"/>
    <w:rsid w:val="004A78BA"/>
    <w:rsid w:val="004B4BB6"/>
    <w:rsid w:val="004B4D4D"/>
    <w:rsid w:val="004C11A7"/>
    <w:rsid w:val="004C4541"/>
    <w:rsid w:val="004C4CA5"/>
    <w:rsid w:val="004C5F3F"/>
    <w:rsid w:val="004D0484"/>
    <w:rsid w:val="004D1AE5"/>
    <w:rsid w:val="004D6F74"/>
    <w:rsid w:val="004E269E"/>
    <w:rsid w:val="004E2959"/>
    <w:rsid w:val="004E3A10"/>
    <w:rsid w:val="004E58A5"/>
    <w:rsid w:val="004E6093"/>
    <w:rsid w:val="004E6F41"/>
    <w:rsid w:val="004F2492"/>
    <w:rsid w:val="00503551"/>
    <w:rsid w:val="0051222D"/>
    <w:rsid w:val="005145ED"/>
    <w:rsid w:val="00521683"/>
    <w:rsid w:val="00523E95"/>
    <w:rsid w:val="005245A4"/>
    <w:rsid w:val="00526949"/>
    <w:rsid w:val="00533D1C"/>
    <w:rsid w:val="00535DC9"/>
    <w:rsid w:val="005376B7"/>
    <w:rsid w:val="00540298"/>
    <w:rsid w:val="00541F3F"/>
    <w:rsid w:val="0054268F"/>
    <w:rsid w:val="005460A3"/>
    <w:rsid w:val="00547DD7"/>
    <w:rsid w:val="00550252"/>
    <w:rsid w:val="00551A8D"/>
    <w:rsid w:val="005523A5"/>
    <w:rsid w:val="00553DEC"/>
    <w:rsid w:val="00554002"/>
    <w:rsid w:val="00557C07"/>
    <w:rsid w:val="00567E42"/>
    <w:rsid w:val="00572E35"/>
    <w:rsid w:val="00576234"/>
    <w:rsid w:val="005818A8"/>
    <w:rsid w:val="005842DF"/>
    <w:rsid w:val="0058734B"/>
    <w:rsid w:val="005903F3"/>
    <w:rsid w:val="00591B89"/>
    <w:rsid w:val="005926B7"/>
    <w:rsid w:val="00593B03"/>
    <w:rsid w:val="00593F40"/>
    <w:rsid w:val="0059697A"/>
    <w:rsid w:val="005A5EEB"/>
    <w:rsid w:val="005A79A4"/>
    <w:rsid w:val="005B5BDF"/>
    <w:rsid w:val="005B790A"/>
    <w:rsid w:val="005C05F7"/>
    <w:rsid w:val="005C05FA"/>
    <w:rsid w:val="005C49BA"/>
    <w:rsid w:val="005C5B1D"/>
    <w:rsid w:val="005D0D16"/>
    <w:rsid w:val="005E1CE0"/>
    <w:rsid w:val="005E6164"/>
    <w:rsid w:val="005F28F8"/>
    <w:rsid w:val="005F2CE6"/>
    <w:rsid w:val="005F45A8"/>
    <w:rsid w:val="005F5D8E"/>
    <w:rsid w:val="00605CB4"/>
    <w:rsid w:val="00606E2B"/>
    <w:rsid w:val="00610C41"/>
    <w:rsid w:val="00612D79"/>
    <w:rsid w:val="0061390B"/>
    <w:rsid w:val="00615F78"/>
    <w:rsid w:val="00620BEB"/>
    <w:rsid w:val="00622C65"/>
    <w:rsid w:val="00632593"/>
    <w:rsid w:val="006353D1"/>
    <w:rsid w:val="00637F19"/>
    <w:rsid w:val="00641752"/>
    <w:rsid w:val="00645DF5"/>
    <w:rsid w:val="00645EA4"/>
    <w:rsid w:val="00650F05"/>
    <w:rsid w:val="0065454E"/>
    <w:rsid w:val="00657B01"/>
    <w:rsid w:val="00661BB3"/>
    <w:rsid w:val="00666DE4"/>
    <w:rsid w:val="006755C1"/>
    <w:rsid w:val="006811C5"/>
    <w:rsid w:val="00686B2A"/>
    <w:rsid w:val="006911F3"/>
    <w:rsid w:val="006A135D"/>
    <w:rsid w:val="006A2D10"/>
    <w:rsid w:val="006A5214"/>
    <w:rsid w:val="006A6067"/>
    <w:rsid w:val="006A7A79"/>
    <w:rsid w:val="006B4A5D"/>
    <w:rsid w:val="006C38A8"/>
    <w:rsid w:val="006D21ED"/>
    <w:rsid w:val="006D66AE"/>
    <w:rsid w:val="006D725E"/>
    <w:rsid w:val="006E3745"/>
    <w:rsid w:val="006F220A"/>
    <w:rsid w:val="006F6553"/>
    <w:rsid w:val="007029E1"/>
    <w:rsid w:val="00702D65"/>
    <w:rsid w:val="00710028"/>
    <w:rsid w:val="007103A5"/>
    <w:rsid w:val="00710D22"/>
    <w:rsid w:val="007111CD"/>
    <w:rsid w:val="00717EF8"/>
    <w:rsid w:val="0072164F"/>
    <w:rsid w:val="007253E7"/>
    <w:rsid w:val="0072736C"/>
    <w:rsid w:val="007315D8"/>
    <w:rsid w:val="00740BD1"/>
    <w:rsid w:val="00743CFD"/>
    <w:rsid w:val="007664C1"/>
    <w:rsid w:val="007700C2"/>
    <w:rsid w:val="00772382"/>
    <w:rsid w:val="00782EFA"/>
    <w:rsid w:val="00785519"/>
    <w:rsid w:val="007866A5"/>
    <w:rsid w:val="0079299D"/>
    <w:rsid w:val="00792D31"/>
    <w:rsid w:val="00794D36"/>
    <w:rsid w:val="007952E9"/>
    <w:rsid w:val="00795500"/>
    <w:rsid w:val="0079639C"/>
    <w:rsid w:val="00796CB2"/>
    <w:rsid w:val="007A410D"/>
    <w:rsid w:val="007A66FE"/>
    <w:rsid w:val="007A713B"/>
    <w:rsid w:val="007B3290"/>
    <w:rsid w:val="007B42D0"/>
    <w:rsid w:val="007B4FCE"/>
    <w:rsid w:val="007B681E"/>
    <w:rsid w:val="007C1DB9"/>
    <w:rsid w:val="007C2FD2"/>
    <w:rsid w:val="007C62A6"/>
    <w:rsid w:val="007C6F18"/>
    <w:rsid w:val="007C7B84"/>
    <w:rsid w:val="007D2916"/>
    <w:rsid w:val="007D29EC"/>
    <w:rsid w:val="007D4BBD"/>
    <w:rsid w:val="007D67CC"/>
    <w:rsid w:val="007E1660"/>
    <w:rsid w:val="007E1FC2"/>
    <w:rsid w:val="007F09BE"/>
    <w:rsid w:val="007F1327"/>
    <w:rsid w:val="007F140C"/>
    <w:rsid w:val="007F186E"/>
    <w:rsid w:val="007F197B"/>
    <w:rsid w:val="0080339F"/>
    <w:rsid w:val="0080612D"/>
    <w:rsid w:val="00806354"/>
    <w:rsid w:val="0080692E"/>
    <w:rsid w:val="00806CD5"/>
    <w:rsid w:val="00806F4A"/>
    <w:rsid w:val="0080753A"/>
    <w:rsid w:val="008111C8"/>
    <w:rsid w:val="008149F4"/>
    <w:rsid w:val="00814F10"/>
    <w:rsid w:val="00815011"/>
    <w:rsid w:val="00815817"/>
    <w:rsid w:val="00815EF6"/>
    <w:rsid w:val="00816F85"/>
    <w:rsid w:val="00820D28"/>
    <w:rsid w:val="00822591"/>
    <w:rsid w:val="00827E8A"/>
    <w:rsid w:val="008316CB"/>
    <w:rsid w:val="0083288D"/>
    <w:rsid w:val="0083605E"/>
    <w:rsid w:val="00840F4E"/>
    <w:rsid w:val="008463FD"/>
    <w:rsid w:val="00853880"/>
    <w:rsid w:val="00856132"/>
    <w:rsid w:val="00860311"/>
    <w:rsid w:val="00861497"/>
    <w:rsid w:val="008649BB"/>
    <w:rsid w:val="008655EA"/>
    <w:rsid w:val="00867CA5"/>
    <w:rsid w:val="00873ECE"/>
    <w:rsid w:val="008740D4"/>
    <w:rsid w:val="00874708"/>
    <w:rsid w:val="00875F92"/>
    <w:rsid w:val="00876CE2"/>
    <w:rsid w:val="0087785E"/>
    <w:rsid w:val="00892203"/>
    <w:rsid w:val="0089393F"/>
    <w:rsid w:val="008A0893"/>
    <w:rsid w:val="008A11C6"/>
    <w:rsid w:val="008A1D22"/>
    <w:rsid w:val="008A4884"/>
    <w:rsid w:val="008B13D2"/>
    <w:rsid w:val="008B3268"/>
    <w:rsid w:val="008B361D"/>
    <w:rsid w:val="008C1554"/>
    <w:rsid w:val="008C3F42"/>
    <w:rsid w:val="008C53CE"/>
    <w:rsid w:val="008E2B15"/>
    <w:rsid w:val="008E33F3"/>
    <w:rsid w:val="008E3B84"/>
    <w:rsid w:val="008E54BD"/>
    <w:rsid w:val="008F1360"/>
    <w:rsid w:val="008F229B"/>
    <w:rsid w:val="008F2A6E"/>
    <w:rsid w:val="00903C18"/>
    <w:rsid w:val="00906E0C"/>
    <w:rsid w:val="00907943"/>
    <w:rsid w:val="00912194"/>
    <w:rsid w:val="009123AA"/>
    <w:rsid w:val="009127EC"/>
    <w:rsid w:val="00916E97"/>
    <w:rsid w:val="00920372"/>
    <w:rsid w:val="0092164B"/>
    <w:rsid w:val="009223B5"/>
    <w:rsid w:val="0092326A"/>
    <w:rsid w:val="009260D3"/>
    <w:rsid w:val="009316EC"/>
    <w:rsid w:val="009317CD"/>
    <w:rsid w:val="00934728"/>
    <w:rsid w:val="009644D9"/>
    <w:rsid w:val="00964539"/>
    <w:rsid w:val="0097131C"/>
    <w:rsid w:val="00972485"/>
    <w:rsid w:val="00973185"/>
    <w:rsid w:val="00982F5B"/>
    <w:rsid w:val="009870E4"/>
    <w:rsid w:val="00992BCC"/>
    <w:rsid w:val="009A12FA"/>
    <w:rsid w:val="009A564D"/>
    <w:rsid w:val="009B0D7B"/>
    <w:rsid w:val="009B3615"/>
    <w:rsid w:val="009B3801"/>
    <w:rsid w:val="009B534D"/>
    <w:rsid w:val="009B591A"/>
    <w:rsid w:val="009C30FE"/>
    <w:rsid w:val="009C3E56"/>
    <w:rsid w:val="009C483C"/>
    <w:rsid w:val="009D2477"/>
    <w:rsid w:val="009D2D8B"/>
    <w:rsid w:val="009D4A74"/>
    <w:rsid w:val="009D5253"/>
    <w:rsid w:val="009D5D79"/>
    <w:rsid w:val="009D64FE"/>
    <w:rsid w:val="009D75BB"/>
    <w:rsid w:val="009E0994"/>
    <w:rsid w:val="009E25E0"/>
    <w:rsid w:val="009E2C77"/>
    <w:rsid w:val="009E4452"/>
    <w:rsid w:val="009E5993"/>
    <w:rsid w:val="009E6D3E"/>
    <w:rsid w:val="009E7578"/>
    <w:rsid w:val="009E75B7"/>
    <w:rsid w:val="009F2C6B"/>
    <w:rsid w:val="009F5C7B"/>
    <w:rsid w:val="00A031CE"/>
    <w:rsid w:val="00A04421"/>
    <w:rsid w:val="00A11A0D"/>
    <w:rsid w:val="00A22080"/>
    <w:rsid w:val="00A223D3"/>
    <w:rsid w:val="00A32D1B"/>
    <w:rsid w:val="00A42079"/>
    <w:rsid w:val="00A4664E"/>
    <w:rsid w:val="00A531E8"/>
    <w:rsid w:val="00A573ED"/>
    <w:rsid w:val="00A60F08"/>
    <w:rsid w:val="00A61766"/>
    <w:rsid w:val="00A63022"/>
    <w:rsid w:val="00A6692C"/>
    <w:rsid w:val="00A71A7E"/>
    <w:rsid w:val="00A776D7"/>
    <w:rsid w:val="00A91C60"/>
    <w:rsid w:val="00A91E48"/>
    <w:rsid w:val="00A96E37"/>
    <w:rsid w:val="00A97444"/>
    <w:rsid w:val="00AA186F"/>
    <w:rsid w:val="00AA29E5"/>
    <w:rsid w:val="00AB0678"/>
    <w:rsid w:val="00AB3750"/>
    <w:rsid w:val="00AB4BF2"/>
    <w:rsid w:val="00AC00CF"/>
    <w:rsid w:val="00AC4EFA"/>
    <w:rsid w:val="00AC52CB"/>
    <w:rsid w:val="00AC5310"/>
    <w:rsid w:val="00AC7794"/>
    <w:rsid w:val="00AC7ECD"/>
    <w:rsid w:val="00AD009F"/>
    <w:rsid w:val="00AE6128"/>
    <w:rsid w:val="00AF299E"/>
    <w:rsid w:val="00AF54C5"/>
    <w:rsid w:val="00AF56FD"/>
    <w:rsid w:val="00AF5EA0"/>
    <w:rsid w:val="00B066DA"/>
    <w:rsid w:val="00B072C0"/>
    <w:rsid w:val="00B10135"/>
    <w:rsid w:val="00B10769"/>
    <w:rsid w:val="00B113F9"/>
    <w:rsid w:val="00B118A2"/>
    <w:rsid w:val="00B133D0"/>
    <w:rsid w:val="00B15418"/>
    <w:rsid w:val="00B17165"/>
    <w:rsid w:val="00B1737C"/>
    <w:rsid w:val="00B1758C"/>
    <w:rsid w:val="00B17639"/>
    <w:rsid w:val="00B23E58"/>
    <w:rsid w:val="00B23F73"/>
    <w:rsid w:val="00B30226"/>
    <w:rsid w:val="00B33C93"/>
    <w:rsid w:val="00B42124"/>
    <w:rsid w:val="00B443CE"/>
    <w:rsid w:val="00B449F5"/>
    <w:rsid w:val="00B4555A"/>
    <w:rsid w:val="00B51CAF"/>
    <w:rsid w:val="00B53C56"/>
    <w:rsid w:val="00B60464"/>
    <w:rsid w:val="00B606EF"/>
    <w:rsid w:val="00B618F8"/>
    <w:rsid w:val="00B64133"/>
    <w:rsid w:val="00B72E2D"/>
    <w:rsid w:val="00B745CB"/>
    <w:rsid w:val="00B805BD"/>
    <w:rsid w:val="00B80E26"/>
    <w:rsid w:val="00B81DA7"/>
    <w:rsid w:val="00B86490"/>
    <w:rsid w:val="00B873E2"/>
    <w:rsid w:val="00B91D3D"/>
    <w:rsid w:val="00B94E7D"/>
    <w:rsid w:val="00B97F08"/>
    <w:rsid w:val="00BA4663"/>
    <w:rsid w:val="00BA696B"/>
    <w:rsid w:val="00BA7212"/>
    <w:rsid w:val="00BC5F45"/>
    <w:rsid w:val="00BC71D6"/>
    <w:rsid w:val="00BD4C85"/>
    <w:rsid w:val="00BE1EFD"/>
    <w:rsid w:val="00BE4493"/>
    <w:rsid w:val="00BE456E"/>
    <w:rsid w:val="00BF3137"/>
    <w:rsid w:val="00BF4417"/>
    <w:rsid w:val="00BF44CB"/>
    <w:rsid w:val="00C02ECE"/>
    <w:rsid w:val="00C06AC7"/>
    <w:rsid w:val="00C13E0F"/>
    <w:rsid w:val="00C2031B"/>
    <w:rsid w:val="00C2080D"/>
    <w:rsid w:val="00C228D6"/>
    <w:rsid w:val="00C240C3"/>
    <w:rsid w:val="00C25562"/>
    <w:rsid w:val="00C265C5"/>
    <w:rsid w:val="00C27B89"/>
    <w:rsid w:val="00C34713"/>
    <w:rsid w:val="00C43DDB"/>
    <w:rsid w:val="00C46720"/>
    <w:rsid w:val="00C575E9"/>
    <w:rsid w:val="00C62202"/>
    <w:rsid w:val="00C6240E"/>
    <w:rsid w:val="00C647F2"/>
    <w:rsid w:val="00C66C6C"/>
    <w:rsid w:val="00C706BF"/>
    <w:rsid w:val="00C70FDD"/>
    <w:rsid w:val="00C73A39"/>
    <w:rsid w:val="00C80C0D"/>
    <w:rsid w:val="00C82E4D"/>
    <w:rsid w:val="00C85762"/>
    <w:rsid w:val="00C91234"/>
    <w:rsid w:val="00C93E36"/>
    <w:rsid w:val="00C950F3"/>
    <w:rsid w:val="00C96FB1"/>
    <w:rsid w:val="00CA1C01"/>
    <w:rsid w:val="00CB0962"/>
    <w:rsid w:val="00CB16F4"/>
    <w:rsid w:val="00CB1AC3"/>
    <w:rsid w:val="00CB1F18"/>
    <w:rsid w:val="00CB2FD2"/>
    <w:rsid w:val="00CB3015"/>
    <w:rsid w:val="00CB60E6"/>
    <w:rsid w:val="00CB657C"/>
    <w:rsid w:val="00CC03C4"/>
    <w:rsid w:val="00CC3E40"/>
    <w:rsid w:val="00CC3FFA"/>
    <w:rsid w:val="00CC6C03"/>
    <w:rsid w:val="00CD4FE6"/>
    <w:rsid w:val="00CD5884"/>
    <w:rsid w:val="00CD5DE8"/>
    <w:rsid w:val="00CD70A0"/>
    <w:rsid w:val="00CD74BD"/>
    <w:rsid w:val="00CE7723"/>
    <w:rsid w:val="00CE7903"/>
    <w:rsid w:val="00CF42F6"/>
    <w:rsid w:val="00CF6C71"/>
    <w:rsid w:val="00CF7A9A"/>
    <w:rsid w:val="00D00D60"/>
    <w:rsid w:val="00D017E5"/>
    <w:rsid w:val="00D01A19"/>
    <w:rsid w:val="00D04FF1"/>
    <w:rsid w:val="00D07CDB"/>
    <w:rsid w:val="00D1367C"/>
    <w:rsid w:val="00D14B3E"/>
    <w:rsid w:val="00D1582A"/>
    <w:rsid w:val="00D17FB1"/>
    <w:rsid w:val="00D21BE4"/>
    <w:rsid w:val="00D25C5A"/>
    <w:rsid w:val="00D309C4"/>
    <w:rsid w:val="00D32D2F"/>
    <w:rsid w:val="00D341CA"/>
    <w:rsid w:val="00D41AF4"/>
    <w:rsid w:val="00D4554A"/>
    <w:rsid w:val="00D45E53"/>
    <w:rsid w:val="00D47039"/>
    <w:rsid w:val="00D55EAF"/>
    <w:rsid w:val="00D63655"/>
    <w:rsid w:val="00D66257"/>
    <w:rsid w:val="00D673AD"/>
    <w:rsid w:val="00D75630"/>
    <w:rsid w:val="00D762B2"/>
    <w:rsid w:val="00D81ED8"/>
    <w:rsid w:val="00D842AA"/>
    <w:rsid w:val="00D86D76"/>
    <w:rsid w:val="00D87130"/>
    <w:rsid w:val="00D93E0B"/>
    <w:rsid w:val="00DA6860"/>
    <w:rsid w:val="00DA7546"/>
    <w:rsid w:val="00DB1A98"/>
    <w:rsid w:val="00DB4E25"/>
    <w:rsid w:val="00DB6FBE"/>
    <w:rsid w:val="00DC47C0"/>
    <w:rsid w:val="00DC68BB"/>
    <w:rsid w:val="00DC6C77"/>
    <w:rsid w:val="00DD145E"/>
    <w:rsid w:val="00DD1480"/>
    <w:rsid w:val="00DD29E1"/>
    <w:rsid w:val="00DD334E"/>
    <w:rsid w:val="00DE02C4"/>
    <w:rsid w:val="00DF07E7"/>
    <w:rsid w:val="00DF164D"/>
    <w:rsid w:val="00DF1796"/>
    <w:rsid w:val="00DF270D"/>
    <w:rsid w:val="00DF3137"/>
    <w:rsid w:val="00DF3B28"/>
    <w:rsid w:val="00DF5606"/>
    <w:rsid w:val="00DF56EC"/>
    <w:rsid w:val="00E020F2"/>
    <w:rsid w:val="00E02FF2"/>
    <w:rsid w:val="00E12059"/>
    <w:rsid w:val="00E17555"/>
    <w:rsid w:val="00E204D2"/>
    <w:rsid w:val="00E25D21"/>
    <w:rsid w:val="00E2618F"/>
    <w:rsid w:val="00E31716"/>
    <w:rsid w:val="00E32B95"/>
    <w:rsid w:val="00E34551"/>
    <w:rsid w:val="00E34EAB"/>
    <w:rsid w:val="00E373B2"/>
    <w:rsid w:val="00E40036"/>
    <w:rsid w:val="00E41969"/>
    <w:rsid w:val="00E423B5"/>
    <w:rsid w:val="00E45000"/>
    <w:rsid w:val="00E451FD"/>
    <w:rsid w:val="00E4667F"/>
    <w:rsid w:val="00E50E93"/>
    <w:rsid w:val="00E52CE0"/>
    <w:rsid w:val="00E556EC"/>
    <w:rsid w:val="00E55B22"/>
    <w:rsid w:val="00E60D44"/>
    <w:rsid w:val="00E63EF8"/>
    <w:rsid w:val="00E64502"/>
    <w:rsid w:val="00E66570"/>
    <w:rsid w:val="00E66C98"/>
    <w:rsid w:val="00E72567"/>
    <w:rsid w:val="00E7672C"/>
    <w:rsid w:val="00E771D2"/>
    <w:rsid w:val="00E80EDB"/>
    <w:rsid w:val="00E84794"/>
    <w:rsid w:val="00E847DF"/>
    <w:rsid w:val="00E90013"/>
    <w:rsid w:val="00E928BB"/>
    <w:rsid w:val="00E93488"/>
    <w:rsid w:val="00EA0CCD"/>
    <w:rsid w:val="00EA28CA"/>
    <w:rsid w:val="00EA4444"/>
    <w:rsid w:val="00EA6A01"/>
    <w:rsid w:val="00EB0E23"/>
    <w:rsid w:val="00EB17AF"/>
    <w:rsid w:val="00EB4C04"/>
    <w:rsid w:val="00EB56F2"/>
    <w:rsid w:val="00EC08B2"/>
    <w:rsid w:val="00EC2B12"/>
    <w:rsid w:val="00EC4D59"/>
    <w:rsid w:val="00ED06A6"/>
    <w:rsid w:val="00ED2A64"/>
    <w:rsid w:val="00ED451D"/>
    <w:rsid w:val="00ED7C55"/>
    <w:rsid w:val="00EE2FDC"/>
    <w:rsid w:val="00F07C02"/>
    <w:rsid w:val="00F157C6"/>
    <w:rsid w:val="00F234BF"/>
    <w:rsid w:val="00F268B3"/>
    <w:rsid w:val="00F27014"/>
    <w:rsid w:val="00F31CCA"/>
    <w:rsid w:val="00F32BBA"/>
    <w:rsid w:val="00F43E0E"/>
    <w:rsid w:val="00F473F0"/>
    <w:rsid w:val="00F47540"/>
    <w:rsid w:val="00F50569"/>
    <w:rsid w:val="00F51139"/>
    <w:rsid w:val="00F52969"/>
    <w:rsid w:val="00F55F14"/>
    <w:rsid w:val="00F622ED"/>
    <w:rsid w:val="00F65EEA"/>
    <w:rsid w:val="00F776D3"/>
    <w:rsid w:val="00F84075"/>
    <w:rsid w:val="00F90537"/>
    <w:rsid w:val="00F91733"/>
    <w:rsid w:val="00F920DB"/>
    <w:rsid w:val="00F95209"/>
    <w:rsid w:val="00F964AD"/>
    <w:rsid w:val="00FB3956"/>
    <w:rsid w:val="00FC0F8B"/>
    <w:rsid w:val="00FC24AF"/>
    <w:rsid w:val="00FD53BA"/>
    <w:rsid w:val="00FD6B0E"/>
    <w:rsid w:val="00FD7E42"/>
    <w:rsid w:val="00FE1B77"/>
    <w:rsid w:val="00FE40D8"/>
    <w:rsid w:val="00FE7219"/>
    <w:rsid w:val="00FF0163"/>
    <w:rsid w:val="01954D8D"/>
    <w:rsid w:val="02E32A5D"/>
    <w:rsid w:val="035D5749"/>
    <w:rsid w:val="057D13AE"/>
    <w:rsid w:val="064A667C"/>
    <w:rsid w:val="06B2613D"/>
    <w:rsid w:val="06B753E3"/>
    <w:rsid w:val="09B849A4"/>
    <w:rsid w:val="09F160E3"/>
    <w:rsid w:val="0AC64130"/>
    <w:rsid w:val="0B42525D"/>
    <w:rsid w:val="0C1F7DEE"/>
    <w:rsid w:val="0C88769D"/>
    <w:rsid w:val="0CDE660D"/>
    <w:rsid w:val="0D032A7C"/>
    <w:rsid w:val="0F662138"/>
    <w:rsid w:val="0F9B0CE9"/>
    <w:rsid w:val="0FF35275"/>
    <w:rsid w:val="100732C8"/>
    <w:rsid w:val="10DA6205"/>
    <w:rsid w:val="111441F0"/>
    <w:rsid w:val="113D3FD2"/>
    <w:rsid w:val="121F7D21"/>
    <w:rsid w:val="129B2E20"/>
    <w:rsid w:val="12AA5DF8"/>
    <w:rsid w:val="134E6356"/>
    <w:rsid w:val="13AE24B4"/>
    <w:rsid w:val="15364A7C"/>
    <w:rsid w:val="15602ADB"/>
    <w:rsid w:val="15D52593"/>
    <w:rsid w:val="197E6634"/>
    <w:rsid w:val="1B8A2034"/>
    <w:rsid w:val="1BC72FF7"/>
    <w:rsid w:val="1D03226A"/>
    <w:rsid w:val="1D5030CD"/>
    <w:rsid w:val="1D876087"/>
    <w:rsid w:val="1DFF64E4"/>
    <w:rsid w:val="1ECB51CD"/>
    <w:rsid w:val="1FDC1B35"/>
    <w:rsid w:val="2056595D"/>
    <w:rsid w:val="20AE4DE8"/>
    <w:rsid w:val="21194658"/>
    <w:rsid w:val="216834DE"/>
    <w:rsid w:val="21996AC1"/>
    <w:rsid w:val="219F3EE2"/>
    <w:rsid w:val="21F57098"/>
    <w:rsid w:val="22BB5089"/>
    <w:rsid w:val="24321B2E"/>
    <w:rsid w:val="244B21DE"/>
    <w:rsid w:val="245C7DFE"/>
    <w:rsid w:val="247F3074"/>
    <w:rsid w:val="24B82D9D"/>
    <w:rsid w:val="258A2E5C"/>
    <w:rsid w:val="25B924F3"/>
    <w:rsid w:val="25E06B30"/>
    <w:rsid w:val="268419CF"/>
    <w:rsid w:val="26AC2D80"/>
    <w:rsid w:val="26F95364"/>
    <w:rsid w:val="2B9C319C"/>
    <w:rsid w:val="2C1D776C"/>
    <w:rsid w:val="2C6C12B9"/>
    <w:rsid w:val="2CA93C52"/>
    <w:rsid w:val="2D912E3A"/>
    <w:rsid w:val="2DC02C2B"/>
    <w:rsid w:val="2DE440F7"/>
    <w:rsid w:val="2FA14A50"/>
    <w:rsid w:val="2FA70F17"/>
    <w:rsid w:val="32951C0D"/>
    <w:rsid w:val="340E7198"/>
    <w:rsid w:val="34A75784"/>
    <w:rsid w:val="373F75CC"/>
    <w:rsid w:val="38F320AA"/>
    <w:rsid w:val="399D40A5"/>
    <w:rsid w:val="3A2F6D68"/>
    <w:rsid w:val="3AC9385E"/>
    <w:rsid w:val="3B3306F0"/>
    <w:rsid w:val="3B563B4D"/>
    <w:rsid w:val="3C2825B0"/>
    <w:rsid w:val="3C2B26B7"/>
    <w:rsid w:val="3C881F02"/>
    <w:rsid w:val="3CB420C3"/>
    <w:rsid w:val="3D8B796D"/>
    <w:rsid w:val="3DA80A30"/>
    <w:rsid w:val="3E643221"/>
    <w:rsid w:val="3EC32453"/>
    <w:rsid w:val="3ECC520D"/>
    <w:rsid w:val="3EE0186C"/>
    <w:rsid w:val="3EFE09FD"/>
    <w:rsid w:val="3F345DBE"/>
    <w:rsid w:val="40F15753"/>
    <w:rsid w:val="41F950F8"/>
    <w:rsid w:val="43F63E0D"/>
    <w:rsid w:val="44092E2E"/>
    <w:rsid w:val="441077D2"/>
    <w:rsid w:val="44396064"/>
    <w:rsid w:val="459609D9"/>
    <w:rsid w:val="45A37566"/>
    <w:rsid w:val="45CF0A85"/>
    <w:rsid w:val="46194A11"/>
    <w:rsid w:val="47752ACA"/>
    <w:rsid w:val="47C813F2"/>
    <w:rsid w:val="4A6F6249"/>
    <w:rsid w:val="4AB74C38"/>
    <w:rsid w:val="4B6224E5"/>
    <w:rsid w:val="4B8C4A56"/>
    <w:rsid w:val="4BF97936"/>
    <w:rsid w:val="4C457E30"/>
    <w:rsid w:val="4D2A3925"/>
    <w:rsid w:val="4DB20386"/>
    <w:rsid w:val="4DF02D90"/>
    <w:rsid w:val="5005695E"/>
    <w:rsid w:val="50286811"/>
    <w:rsid w:val="51266B84"/>
    <w:rsid w:val="5191036A"/>
    <w:rsid w:val="546B5509"/>
    <w:rsid w:val="548642E9"/>
    <w:rsid w:val="54C12E33"/>
    <w:rsid w:val="55633225"/>
    <w:rsid w:val="56DD4D3A"/>
    <w:rsid w:val="57555A7B"/>
    <w:rsid w:val="5770382C"/>
    <w:rsid w:val="57CB522F"/>
    <w:rsid w:val="58042686"/>
    <w:rsid w:val="58246D5D"/>
    <w:rsid w:val="58EC5960"/>
    <w:rsid w:val="59151C86"/>
    <w:rsid w:val="59C52328"/>
    <w:rsid w:val="5AD37D8A"/>
    <w:rsid w:val="5B906095"/>
    <w:rsid w:val="5BF60A75"/>
    <w:rsid w:val="5C9F2D01"/>
    <w:rsid w:val="5D5617A6"/>
    <w:rsid w:val="5D716329"/>
    <w:rsid w:val="5EA23F15"/>
    <w:rsid w:val="5EA7685B"/>
    <w:rsid w:val="5ED40954"/>
    <w:rsid w:val="60BE22C5"/>
    <w:rsid w:val="619A2BBF"/>
    <w:rsid w:val="61DF02D0"/>
    <w:rsid w:val="62710E5F"/>
    <w:rsid w:val="63735B47"/>
    <w:rsid w:val="63FF1EA7"/>
    <w:rsid w:val="64C32497"/>
    <w:rsid w:val="669D0EEA"/>
    <w:rsid w:val="66C861F9"/>
    <w:rsid w:val="66D04BBC"/>
    <w:rsid w:val="67655BF9"/>
    <w:rsid w:val="67C6389B"/>
    <w:rsid w:val="685D4EEE"/>
    <w:rsid w:val="68AE1587"/>
    <w:rsid w:val="68D53E8D"/>
    <w:rsid w:val="6A194855"/>
    <w:rsid w:val="6B292599"/>
    <w:rsid w:val="6D9172E5"/>
    <w:rsid w:val="6E133456"/>
    <w:rsid w:val="6ECB7DD2"/>
    <w:rsid w:val="6F79454F"/>
    <w:rsid w:val="6FE61065"/>
    <w:rsid w:val="70675779"/>
    <w:rsid w:val="713E0334"/>
    <w:rsid w:val="716F5E64"/>
    <w:rsid w:val="72417AFE"/>
    <w:rsid w:val="729B5F03"/>
    <w:rsid w:val="72D92B78"/>
    <w:rsid w:val="72F62A89"/>
    <w:rsid w:val="737357AF"/>
    <w:rsid w:val="74163BE4"/>
    <w:rsid w:val="75292EAC"/>
    <w:rsid w:val="755A5FEF"/>
    <w:rsid w:val="75775016"/>
    <w:rsid w:val="758E0106"/>
    <w:rsid w:val="7626762C"/>
    <w:rsid w:val="778F5135"/>
    <w:rsid w:val="77B53D6B"/>
    <w:rsid w:val="77D54B08"/>
    <w:rsid w:val="784F7772"/>
    <w:rsid w:val="78713929"/>
    <w:rsid w:val="78E55995"/>
    <w:rsid w:val="79267C0B"/>
    <w:rsid w:val="79C90FB7"/>
    <w:rsid w:val="7ABE4B56"/>
    <w:rsid w:val="7B264F79"/>
    <w:rsid w:val="7B3E5659"/>
    <w:rsid w:val="7BCC4162"/>
    <w:rsid w:val="7CD80967"/>
    <w:rsid w:val="7D0C2828"/>
    <w:rsid w:val="7D902239"/>
    <w:rsid w:val="7EAF7817"/>
    <w:rsid w:val="7FD644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qFormat="1"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99" w:semiHidden="0" w:name="Quote"/>
    <w:lsdException w:qFormat="1" w:unhideWhenUsed="0" w:uiPriority="99"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1"/>
      <w:lang w:val="en-US" w:eastAsia="zh-CN" w:bidi="ar-SA"/>
    </w:rPr>
  </w:style>
  <w:style w:type="paragraph" w:styleId="3">
    <w:name w:val="heading 1"/>
    <w:basedOn w:val="1"/>
    <w:next w:val="1"/>
    <w:link w:val="97"/>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103"/>
    <w:semiHidden/>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104"/>
    <w:semiHidden/>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105"/>
    <w:semiHidden/>
    <w:unhideWhenUsed/>
    <w:qFormat/>
    <w:uiPriority w:val="0"/>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106"/>
    <w:semiHidden/>
    <w:unhideWhenUsed/>
    <w:qFormat/>
    <w:uiPriority w:val="0"/>
    <w:pPr>
      <w:keepNext/>
      <w:keepLines/>
      <w:spacing w:before="280" w:after="290" w:line="376" w:lineRule="auto"/>
      <w:outlineLvl w:val="4"/>
    </w:pPr>
    <w:rPr>
      <w:b/>
      <w:bCs/>
      <w:sz w:val="28"/>
      <w:szCs w:val="28"/>
    </w:rPr>
  </w:style>
  <w:style w:type="paragraph" w:styleId="8">
    <w:name w:val="heading 6"/>
    <w:basedOn w:val="1"/>
    <w:next w:val="1"/>
    <w:link w:val="107"/>
    <w:semiHidden/>
    <w:unhideWhenUsed/>
    <w:qFormat/>
    <w:uiPriority w:val="0"/>
    <w:pPr>
      <w:keepNext/>
      <w:keepLines/>
      <w:spacing w:before="240" w:after="64" w:line="320" w:lineRule="auto"/>
      <w:outlineLvl w:val="5"/>
    </w:pPr>
    <w:rPr>
      <w:rFonts w:asciiTheme="majorHAnsi" w:hAnsiTheme="majorHAnsi" w:eastAsiaTheme="majorEastAsia" w:cstheme="majorBidi"/>
      <w:b/>
      <w:bCs/>
      <w:sz w:val="24"/>
      <w:szCs w:val="24"/>
    </w:rPr>
  </w:style>
  <w:style w:type="paragraph" w:styleId="9">
    <w:name w:val="heading 7"/>
    <w:basedOn w:val="1"/>
    <w:next w:val="1"/>
    <w:link w:val="108"/>
    <w:semiHidden/>
    <w:unhideWhenUsed/>
    <w:qFormat/>
    <w:uiPriority w:val="0"/>
    <w:pPr>
      <w:keepNext/>
      <w:keepLines/>
      <w:spacing w:before="240" w:after="64" w:line="320" w:lineRule="auto"/>
      <w:outlineLvl w:val="6"/>
    </w:pPr>
    <w:rPr>
      <w:b/>
      <w:bCs/>
      <w:sz w:val="24"/>
      <w:szCs w:val="24"/>
    </w:rPr>
  </w:style>
  <w:style w:type="paragraph" w:styleId="10">
    <w:name w:val="heading 8"/>
    <w:basedOn w:val="1"/>
    <w:next w:val="1"/>
    <w:link w:val="109"/>
    <w:semiHidden/>
    <w:unhideWhenUsed/>
    <w:qFormat/>
    <w:uiPriority w:val="0"/>
    <w:pPr>
      <w:keepNext/>
      <w:keepLines/>
      <w:spacing w:before="240" w:after="64" w:line="320" w:lineRule="auto"/>
      <w:outlineLvl w:val="7"/>
    </w:pPr>
    <w:rPr>
      <w:rFonts w:asciiTheme="majorHAnsi" w:hAnsiTheme="majorHAnsi" w:eastAsiaTheme="majorEastAsia" w:cstheme="majorBidi"/>
      <w:sz w:val="24"/>
      <w:szCs w:val="24"/>
    </w:rPr>
  </w:style>
  <w:style w:type="paragraph" w:styleId="11">
    <w:name w:val="heading 9"/>
    <w:basedOn w:val="1"/>
    <w:next w:val="1"/>
    <w:link w:val="110"/>
    <w:semiHidden/>
    <w:unhideWhenUsed/>
    <w:qFormat/>
    <w:uiPriority w:val="0"/>
    <w:pPr>
      <w:keepNext/>
      <w:keepLines/>
      <w:spacing w:before="240" w:after="64" w:line="320" w:lineRule="auto"/>
      <w:outlineLvl w:val="8"/>
    </w:pPr>
    <w:rPr>
      <w:rFonts w:asciiTheme="majorHAnsi" w:hAnsiTheme="majorHAnsi" w:eastAsiaTheme="majorEastAsia" w:cstheme="majorBidi"/>
    </w:rPr>
  </w:style>
  <w:style w:type="character" w:default="1" w:styleId="90">
    <w:name w:val="Default Paragraph Font"/>
    <w:semiHidden/>
    <w:unhideWhenUsed/>
    <w:qFormat/>
    <w:uiPriority w:val="1"/>
  </w:style>
  <w:style w:type="table" w:default="1" w:styleId="88">
    <w:name w:val="Normal Table"/>
    <w:semiHidden/>
    <w:unhideWhenUsed/>
    <w:qFormat/>
    <w:uiPriority w:val="99"/>
    <w:tblPr>
      <w:tblCellMar>
        <w:top w:w="0" w:type="dxa"/>
        <w:left w:w="108" w:type="dxa"/>
        <w:bottom w:w="0" w:type="dxa"/>
        <w:right w:w="108" w:type="dxa"/>
      </w:tblCellMar>
    </w:tblPr>
  </w:style>
  <w:style w:type="paragraph" w:styleId="2">
    <w:name w:val="macro"/>
    <w:link w:val="115"/>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contextualSpacing/>
    </w:pPr>
  </w:style>
  <w:style w:type="paragraph" w:styleId="13">
    <w:name w:val="toc 7"/>
    <w:basedOn w:val="1"/>
    <w:next w:val="1"/>
    <w:qFormat/>
    <w:uiPriority w:val="0"/>
    <w:pPr>
      <w:ind w:left="2520" w:leftChars="1200"/>
    </w:pPr>
  </w:style>
  <w:style w:type="paragraph" w:styleId="14">
    <w:name w:val="List Number 2"/>
    <w:basedOn w:val="1"/>
    <w:qFormat/>
    <w:uiPriority w:val="0"/>
    <w:pPr>
      <w:numPr>
        <w:ilvl w:val="0"/>
        <w:numId w:val="1"/>
      </w:numPr>
      <w:contextualSpacing/>
    </w:pPr>
  </w:style>
  <w:style w:type="paragraph" w:styleId="15">
    <w:name w:val="table of authorities"/>
    <w:basedOn w:val="1"/>
    <w:next w:val="1"/>
    <w:qFormat/>
    <w:uiPriority w:val="0"/>
    <w:pPr>
      <w:ind w:left="420" w:leftChars="200"/>
    </w:pPr>
  </w:style>
  <w:style w:type="paragraph" w:styleId="16">
    <w:name w:val="Note Heading"/>
    <w:basedOn w:val="1"/>
    <w:next w:val="1"/>
    <w:link w:val="140"/>
    <w:qFormat/>
    <w:uiPriority w:val="0"/>
    <w:pPr>
      <w:jc w:val="center"/>
    </w:pPr>
  </w:style>
  <w:style w:type="paragraph" w:styleId="17">
    <w:name w:val="List Bullet 4"/>
    <w:basedOn w:val="1"/>
    <w:qFormat/>
    <w:uiPriority w:val="0"/>
    <w:pPr>
      <w:numPr>
        <w:ilvl w:val="0"/>
        <w:numId w:val="2"/>
      </w:numPr>
      <w:contextualSpacing/>
    </w:pPr>
  </w:style>
  <w:style w:type="paragraph" w:styleId="18">
    <w:name w:val="index 8"/>
    <w:basedOn w:val="1"/>
    <w:next w:val="1"/>
    <w:qFormat/>
    <w:uiPriority w:val="0"/>
    <w:pPr>
      <w:ind w:left="1400" w:leftChars="1400"/>
    </w:pPr>
  </w:style>
  <w:style w:type="paragraph" w:styleId="19">
    <w:name w:val="E-mail Signature"/>
    <w:basedOn w:val="1"/>
    <w:link w:val="113"/>
    <w:qFormat/>
    <w:uiPriority w:val="0"/>
  </w:style>
  <w:style w:type="paragraph" w:styleId="20">
    <w:name w:val="List Number"/>
    <w:basedOn w:val="1"/>
    <w:qFormat/>
    <w:uiPriority w:val="0"/>
    <w:pPr>
      <w:numPr>
        <w:ilvl w:val="0"/>
        <w:numId w:val="3"/>
      </w:numPr>
      <w:contextualSpacing/>
    </w:pPr>
  </w:style>
  <w:style w:type="paragraph" w:styleId="21">
    <w:name w:val="Normal Indent"/>
    <w:basedOn w:val="1"/>
    <w:qFormat/>
    <w:uiPriority w:val="0"/>
    <w:pPr>
      <w:ind w:firstLine="420" w:firstLineChars="200"/>
    </w:pPr>
  </w:style>
  <w:style w:type="paragraph" w:styleId="22">
    <w:name w:val="caption"/>
    <w:basedOn w:val="1"/>
    <w:next w:val="1"/>
    <w:semiHidden/>
    <w:unhideWhenUsed/>
    <w:qFormat/>
    <w:uiPriority w:val="0"/>
    <w:rPr>
      <w:rFonts w:eastAsia="黑体" w:asciiTheme="majorHAnsi" w:hAnsiTheme="majorHAnsi" w:cstheme="majorBidi"/>
      <w:sz w:val="20"/>
      <w:szCs w:val="20"/>
    </w:rPr>
  </w:style>
  <w:style w:type="paragraph" w:styleId="23">
    <w:name w:val="index 5"/>
    <w:basedOn w:val="1"/>
    <w:next w:val="1"/>
    <w:qFormat/>
    <w:uiPriority w:val="0"/>
    <w:pPr>
      <w:ind w:left="800" w:leftChars="800"/>
    </w:pPr>
  </w:style>
  <w:style w:type="paragraph" w:styleId="24">
    <w:name w:val="List Bullet"/>
    <w:basedOn w:val="1"/>
    <w:qFormat/>
    <w:uiPriority w:val="0"/>
    <w:pPr>
      <w:numPr>
        <w:ilvl w:val="0"/>
        <w:numId w:val="4"/>
      </w:numPr>
      <w:contextualSpacing/>
    </w:pPr>
  </w:style>
  <w:style w:type="paragraph" w:styleId="25">
    <w:name w:val="envelope address"/>
    <w:basedOn w:val="1"/>
    <w:qFormat/>
    <w:uiPriority w:val="0"/>
    <w:pPr>
      <w:framePr w:w="7920" w:h="1980" w:hRule="exact" w:hSpace="180" w:wrap="auto" w:vAnchor="margin" w:hAnchor="page" w:xAlign="center" w:yAlign="bottom"/>
      <w:snapToGrid w:val="0"/>
      <w:ind w:left="100" w:leftChars="1400"/>
    </w:pPr>
    <w:rPr>
      <w:rFonts w:asciiTheme="majorHAnsi" w:hAnsiTheme="majorHAnsi" w:eastAsiaTheme="majorEastAsia" w:cstheme="majorBidi"/>
      <w:sz w:val="24"/>
      <w:szCs w:val="24"/>
    </w:rPr>
  </w:style>
  <w:style w:type="paragraph" w:styleId="26">
    <w:name w:val="Document Map"/>
    <w:basedOn w:val="1"/>
    <w:link w:val="127"/>
    <w:qFormat/>
    <w:uiPriority w:val="0"/>
    <w:rPr>
      <w:rFonts w:ascii="Microsoft YaHei UI" w:eastAsia="Microsoft YaHei UI"/>
      <w:sz w:val="18"/>
      <w:szCs w:val="18"/>
    </w:rPr>
  </w:style>
  <w:style w:type="paragraph" w:styleId="27">
    <w:name w:val="toa heading"/>
    <w:basedOn w:val="1"/>
    <w:next w:val="1"/>
    <w:qFormat/>
    <w:uiPriority w:val="0"/>
    <w:pPr>
      <w:spacing w:before="120"/>
    </w:pPr>
    <w:rPr>
      <w:rFonts w:asciiTheme="majorHAnsi" w:hAnsiTheme="majorHAnsi" w:eastAsiaTheme="majorEastAsia" w:cstheme="majorBidi"/>
      <w:sz w:val="24"/>
      <w:szCs w:val="24"/>
    </w:rPr>
  </w:style>
  <w:style w:type="paragraph" w:styleId="28">
    <w:name w:val="annotation text"/>
    <w:basedOn w:val="1"/>
    <w:link w:val="121"/>
    <w:qFormat/>
    <w:uiPriority w:val="0"/>
    <w:pPr>
      <w:jc w:val="left"/>
    </w:pPr>
  </w:style>
  <w:style w:type="paragraph" w:styleId="29">
    <w:name w:val="index 6"/>
    <w:basedOn w:val="1"/>
    <w:next w:val="1"/>
    <w:qFormat/>
    <w:uiPriority w:val="0"/>
    <w:pPr>
      <w:ind w:left="1000" w:leftChars="1000"/>
    </w:pPr>
  </w:style>
  <w:style w:type="paragraph" w:styleId="30">
    <w:name w:val="Salutation"/>
    <w:basedOn w:val="1"/>
    <w:next w:val="1"/>
    <w:link w:val="111"/>
    <w:qFormat/>
    <w:uiPriority w:val="0"/>
  </w:style>
  <w:style w:type="paragraph" w:styleId="31">
    <w:name w:val="Body Text 3"/>
    <w:basedOn w:val="1"/>
    <w:link w:val="137"/>
    <w:qFormat/>
    <w:uiPriority w:val="0"/>
    <w:pPr>
      <w:spacing w:after="120"/>
    </w:pPr>
    <w:rPr>
      <w:sz w:val="16"/>
      <w:szCs w:val="16"/>
    </w:rPr>
  </w:style>
  <w:style w:type="paragraph" w:styleId="32">
    <w:name w:val="Closing"/>
    <w:basedOn w:val="1"/>
    <w:link w:val="117"/>
    <w:qFormat/>
    <w:uiPriority w:val="0"/>
    <w:pPr>
      <w:ind w:left="100" w:leftChars="2100"/>
    </w:pPr>
  </w:style>
  <w:style w:type="paragraph" w:styleId="33">
    <w:name w:val="List Bullet 3"/>
    <w:basedOn w:val="1"/>
    <w:qFormat/>
    <w:uiPriority w:val="0"/>
    <w:pPr>
      <w:numPr>
        <w:ilvl w:val="0"/>
        <w:numId w:val="5"/>
      </w:numPr>
      <w:contextualSpacing/>
    </w:pPr>
  </w:style>
  <w:style w:type="paragraph" w:styleId="34">
    <w:name w:val="Body Text"/>
    <w:basedOn w:val="1"/>
    <w:link w:val="132"/>
    <w:qFormat/>
    <w:uiPriority w:val="0"/>
    <w:pPr>
      <w:spacing w:after="120"/>
    </w:pPr>
  </w:style>
  <w:style w:type="paragraph" w:styleId="35">
    <w:name w:val="Body Text Indent"/>
    <w:basedOn w:val="1"/>
    <w:link w:val="134"/>
    <w:qFormat/>
    <w:uiPriority w:val="0"/>
    <w:pPr>
      <w:spacing w:after="120"/>
      <w:ind w:left="420" w:leftChars="200"/>
    </w:pPr>
  </w:style>
  <w:style w:type="paragraph" w:styleId="36">
    <w:name w:val="List Number 3"/>
    <w:basedOn w:val="1"/>
    <w:qFormat/>
    <w:uiPriority w:val="0"/>
    <w:pPr>
      <w:numPr>
        <w:ilvl w:val="0"/>
        <w:numId w:val="6"/>
      </w:numPr>
      <w:contextualSpacing/>
    </w:pPr>
  </w:style>
  <w:style w:type="paragraph" w:styleId="37">
    <w:name w:val="List 2"/>
    <w:basedOn w:val="1"/>
    <w:qFormat/>
    <w:uiPriority w:val="0"/>
    <w:pPr>
      <w:ind w:left="100" w:leftChars="200" w:hanging="200" w:hangingChars="200"/>
      <w:contextualSpacing/>
    </w:pPr>
  </w:style>
  <w:style w:type="paragraph" w:styleId="38">
    <w:name w:val="List Continue"/>
    <w:basedOn w:val="1"/>
    <w:qFormat/>
    <w:uiPriority w:val="0"/>
    <w:pPr>
      <w:spacing w:after="120"/>
      <w:ind w:left="420" w:leftChars="200"/>
      <w:contextualSpacing/>
    </w:pPr>
  </w:style>
  <w:style w:type="paragraph" w:styleId="39">
    <w:name w:val="Block Text"/>
    <w:basedOn w:val="1"/>
    <w:qFormat/>
    <w:uiPriority w:val="0"/>
    <w:pPr>
      <w:spacing w:after="120"/>
      <w:ind w:left="1440" w:leftChars="700" w:right="1440" w:rightChars="700"/>
    </w:pPr>
  </w:style>
  <w:style w:type="paragraph" w:styleId="40">
    <w:name w:val="List Bullet 2"/>
    <w:basedOn w:val="1"/>
    <w:qFormat/>
    <w:uiPriority w:val="0"/>
    <w:pPr>
      <w:numPr>
        <w:ilvl w:val="0"/>
        <w:numId w:val="7"/>
      </w:numPr>
      <w:contextualSpacing/>
    </w:pPr>
  </w:style>
  <w:style w:type="paragraph" w:styleId="41">
    <w:name w:val="HTML Address"/>
    <w:basedOn w:val="1"/>
    <w:link w:val="99"/>
    <w:qFormat/>
    <w:uiPriority w:val="0"/>
    <w:rPr>
      <w:i/>
      <w:iCs/>
    </w:rPr>
  </w:style>
  <w:style w:type="paragraph" w:styleId="42">
    <w:name w:val="index 4"/>
    <w:basedOn w:val="1"/>
    <w:next w:val="1"/>
    <w:qFormat/>
    <w:uiPriority w:val="0"/>
    <w:pPr>
      <w:ind w:left="600" w:leftChars="600"/>
    </w:pPr>
  </w:style>
  <w:style w:type="paragraph" w:styleId="43">
    <w:name w:val="toc 5"/>
    <w:basedOn w:val="1"/>
    <w:next w:val="1"/>
    <w:qFormat/>
    <w:uiPriority w:val="0"/>
    <w:pPr>
      <w:ind w:left="1680" w:leftChars="800"/>
    </w:pPr>
  </w:style>
  <w:style w:type="paragraph" w:styleId="44">
    <w:name w:val="toc 3"/>
    <w:basedOn w:val="1"/>
    <w:next w:val="1"/>
    <w:qFormat/>
    <w:uiPriority w:val="0"/>
    <w:pPr>
      <w:ind w:left="840" w:leftChars="400"/>
    </w:pPr>
  </w:style>
  <w:style w:type="paragraph" w:styleId="45">
    <w:name w:val="Plain Text"/>
    <w:basedOn w:val="1"/>
    <w:link w:val="112"/>
    <w:qFormat/>
    <w:uiPriority w:val="0"/>
    <w:rPr>
      <w:rFonts w:hAnsi="Courier New" w:cs="Courier New" w:asciiTheme="minorEastAsia" w:eastAsiaTheme="minorEastAsia"/>
    </w:rPr>
  </w:style>
  <w:style w:type="paragraph" w:styleId="46">
    <w:name w:val="List Bullet 5"/>
    <w:basedOn w:val="1"/>
    <w:qFormat/>
    <w:uiPriority w:val="0"/>
    <w:pPr>
      <w:numPr>
        <w:ilvl w:val="0"/>
        <w:numId w:val="8"/>
      </w:numPr>
      <w:contextualSpacing/>
    </w:pPr>
  </w:style>
  <w:style w:type="paragraph" w:styleId="47">
    <w:name w:val="List Number 4"/>
    <w:basedOn w:val="1"/>
    <w:qFormat/>
    <w:uiPriority w:val="0"/>
    <w:pPr>
      <w:numPr>
        <w:ilvl w:val="0"/>
        <w:numId w:val="9"/>
      </w:numPr>
      <w:contextualSpacing/>
    </w:pPr>
  </w:style>
  <w:style w:type="paragraph" w:styleId="48">
    <w:name w:val="toc 8"/>
    <w:basedOn w:val="1"/>
    <w:next w:val="1"/>
    <w:qFormat/>
    <w:uiPriority w:val="0"/>
    <w:pPr>
      <w:ind w:left="2940" w:leftChars="1400"/>
    </w:pPr>
  </w:style>
  <w:style w:type="paragraph" w:styleId="49">
    <w:name w:val="index 3"/>
    <w:basedOn w:val="1"/>
    <w:next w:val="1"/>
    <w:qFormat/>
    <w:uiPriority w:val="0"/>
    <w:pPr>
      <w:ind w:left="400" w:leftChars="400"/>
    </w:pPr>
  </w:style>
  <w:style w:type="paragraph" w:styleId="50">
    <w:name w:val="Date"/>
    <w:basedOn w:val="1"/>
    <w:next w:val="1"/>
    <w:link w:val="124"/>
    <w:qFormat/>
    <w:uiPriority w:val="0"/>
    <w:pPr>
      <w:ind w:left="100" w:leftChars="2500"/>
    </w:pPr>
  </w:style>
  <w:style w:type="paragraph" w:styleId="51">
    <w:name w:val="Body Text Indent 2"/>
    <w:basedOn w:val="1"/>
    <w:link w:val="138"/>
    <w:qFormat/>
    <w:uiPriority w:val="0"/>
    <w:pPr>
      <w:spacing w:after="120" w:line="480" w:lineRule="auto"/>
      <w:ind w:left="420" w:leftChars="200"/>
    </w:pPr>
  </w:style>
  <w:style w:type="paragraph" w:styleId="52">
    <w:name w:val="endnote text"/>
    <w:basedOn w:val="1"/>
    <w:link w:val="126"/>
    <w:qFormat/>
    <w:uiPriority w:val="0"/>
    <w:pPr>
      <w:snapToGrid w:val="0"/>
      <w:jc w:val="left"/>
    </w:pPr>
  </w:style>
  <w:style w:type="paragraph" w:styleId="53">
    <w:name w:val="List Continue 5"/>
    <w:basedOn w:val="1"/>
    <w:qFormat/>
    <w:uiPriority w:val="0"/>
    <w:pPr>
      <w:spacing w:after="120"/>
      <w:ind w:left="2100" w:leftChars="1000"/>
      <w:contextualSpacing/>
    </w:pPr>
  </w:style>
  <w:style w:type="paragraph" w:styleId="54">
    <w:name w:val="Balloon Text"/>
    <w:basedOn w:val="1"/>
    <w:link w:val="120"/>
    <w:semiHidden/>
    <w:unhideWhenUsed/>
    <w:qFormat/>
    <w:uiPriority w:val="0"/>
    <w:rPr>
      <w:sz w:val="18"/>
      <w:szCs w:val="18"/>
    </w:rPr>
  </w:style>
  <w:style w:type="paragraph" w:styleId="55">
    <w:name w:val="footer"/>
    <w:basedOn w:val="1"/>
    <w:qFormat/>
    <w:uiPriority w:val="0"/>
    <w:pPr>
      <w:tabs>
        <w:tab w:val="center" w:pos="4153"/>
        <w:tab w:val="right" w:pos="8306"/>
      </w:tabs>
      <w:snapToGrid w:val="0"/>
      <w:jc w:val="left"/>
    </w:pPr>
    <w:rPr>
      <w:sz w:val="18"/>
    </w:rPr>
  </w:style>
  <w:style w:type="paragraph" w:styleId="56">
    <w:name w:val="envelope return"/>
    <w:basedOn w:val="1"/>
    <w:qFormat/>
    <w:uiPriority w:val="0"/>
    <w:pPr>
      <w:snapToGrid w:val="0"/>
    </w:pPr>
    <w:rPr>
      <w:rFonts w:asciiTheme="majorHAnsi" w:hAnsiTheme="majorHAnsi" w:eastAsiaTheme="majorEastAsia" w:cstheme="majorBidi"/>
    </w:rPr>
  </w:style>
  <w:style w:type="paragraph" w:styleId="5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8">
    <w:name w:val="Signature"/>
    <w:basedOn w:val="1"/>
    <w:link w:val="123"/>
    <w:qFormat/>
    <w:uiPriority w:val="0"/>
    <w:pPr>
      <w:ind w:left="100" w:leftChars="2100"/>
    </w:pPr>
  </w:style>
  <w:style w:type="paragraph" w:styleId="59">
    <w:name w:val="toc 1"/>
    <w:basedOn w:val="1"/>
    <w:next w:val="1"/>
    <w:qFormat/>
    <w:uiPriority w:val="39"/>
  </w:style>
  <w:style w:type="paragraph" w:styleId="60">
    <w:name w:val="List Continue 4"/>
    <w:basedOn w:val="1"/>
    <w:qFormat/>
    <w:uiPriority w:val="0"/>
    <w:pPr>
      <w:spacing w:after="120"/>
      <w:ind w:left="1680" w:leftChars="800"/>
      <w:contextualSpacing/>
    </w:pPr>
  </w:style>
  <w:style w:type="paragraph" w:styleId="61">
    <w:name w:val="toc 4"/>
    <w:basedOn w:val="1"/>
    <w:next w:val="1"/>
    <w:qFormat/>
    <w:uiPriority w:val="0"/>
    <w:pPr>
      <w:ind w:left="1260" w:leftChars="600"/>
    </w:pPr>
  </w:style>
  <w:style w:type="paragraph" w:styleId="62">
    <w:name w:val="index heading"/>
    <w:basedOn w:val="1"/>
    <w:next w:val="63"/>
    <w:qFormat/>
    <w:uiPriority w:val="0"/>
    <w:rPr>
      <w:rFonts w:asciiTheme="majorHAnsi" w:hAnsiTheme="majorHAnsi" w:eastAsiaTheme="majorEastAsia" w:cstheme="majorBidi"/>
      <w:b/>
      <w:bCs/>
    </w:rPr>
  </w:style>
  <w:style w:type="paragraph" w:styleId="63">
    <w:name w:val="index 1"/>
    <w:basedOn w:val="1"/>
    <w:next w:val="1"/>
    <w:qFormat/>
    <w:uiPriority w:val="0"/>
  </w:style>
  <w:style w:type="paragraph" w:styleId="64">
    <w:name w:val="Subtitle"/>
    <w:basedOn w:val="1"/>
    <w:next w:val="1"/>
    <w:link w:val="114"/>
    <w:qFormat/>
    <w:uiPriority w:val="0"/>
    <w:pPr>
      <w:spacing w:before="240" w:after="60" w:line="312" w:lineRule="auto"/>
      <w:jc w:val="center"/>
      <w:outlineLvl w:val="1"/>
    </w:pPr>
    <w:rPr>
      <w:rFonts w:eastAsiaTheme="minorEastAsia"/>
      <w:b/>
      <w:bCs/>
      <w:kern w:val="28"/>
      <w:sz w:val="32"/>
      <w:szCs w:val="32"/>
    </w:rPr>
  </w:style>
  <w:style w:type="paragraph" w:styleId="65">
    <w:name w:val="List Number 5"/>
    <w:basedOn w:val="1"/>
    <w:qFormat/>
    <w:uiPriority w:val="0"/>
    <w:pPr>
      <w:numPr>
        <w:ilvl w:val="0"/>
        <w:numId w:val="10"/>
      </w:numPr>
      <w:contextualSpacing/>
    </w:pPr>
  </w:style>
  <w:style w:type="paragraph" w:styleId="66">
    <w:name w:val="List"/>
    <w:basedOn w:val="1"/>
    <w:qFormat/>
    <w:uiPriority w:val="0"/>
    <w:pPr>
      <w:ind w:left="200" w:hanging="200" w:hangingChars="200"/>
      <w:contextualSpacing/>
    </w:pPr>
  </w:style>
  <w:style w:type="paragraph" w:styleId="67">
    <w:name w:val="footnote text"/>
    <w:basedOn w:val="1"/>
    <w:link w:val="116"/>
    <w:qFormat/>
    <w:uiPriority w:val="0"/>
    <w:pPr>
      <w:snapToGrid w:val="0"/>
      <w:jc w:val="left"/>
    </w:pPr>
    <w:rPr>
      <w:sz w:val="18"/>
      <w:szCs w:val="18"/>
    </w:rPr>
  </w:style>
  <w:style w:type="paragraph" w:styleId="68">
    <w:name w:val="toc 6"/>
    <w:basedOn w:val="1"/>
    <w:next w:val="1"/>
    <w:qFormat/>
    <w:uiPriority w:val="0"/>
    <w:pPr>
      <w:ind w:left="2100" w:leftChars="1000"/>
    </w:pPr>
  </w:style>
  <w:style w:type="paragraph" w:styleId="69">
    <w:name w:val="List 5"/>
    <w:basedOn w:val="1"/>
    <w:qFormat/>
    <w:uiPriority w:val="0"/>
    <w:pPr>
      <w:ind w:left="100" w:leftChars="800" w:hanging="200" w:hangingChars="200"/>
      <w:contextualSpacing/>
    </w:pPr>
  </w:style>
  <w:style w:type="paragraph" w:styleId="70">
    <w:name w:val="Body Text Indent 3"/>
    <w:basedOn w:val="1"/>
    <w:link w:val="139"/>
    <w:qFormat/>
    <w:uiPriority w:val="0"/>
    <w:pPr>
      <w:spacing w:after="120"/>
      <w:ind w:left="420" w:leftChars="200"/>
    </w:pPr>
    <w:rPr>
      <w:sz w:val="16"/>
      <w:szCs w:val="16"/>
    </w:rPr>
  </w:style>
  <w:style w:type="paragraph" w:styleId="71">
    <w:name w:val="index 7"/>
    <w:basedOn w:val="1"/>
    <w:next w:val="1"/>
    <w:qFormat/>
    <w:uiPriority w:val="0"/>
    <w:pPr>
      <w:ind w:left="1200" w:leftChars="1200"/>
    </w:pPr>
  </w:style>
  <w:style w:type="paragraph" w:styleId="72">
    <w:name w:val="index 9"/>
    <w:basedOn w:val="1"/>
    <w:next w:val="1"/>
    <w:qFormat/>
    <w:uiPriority w:val="0"/>
    <w:pPr>
      <w:ind w:left="1600" w:leftChars="1600"/>
    </w:pPr>
  </w:style>
  <w:style w:type="paragraph" w:styleId="73">
    <w:name w:val="table of figures"/>
    <w:basedOn w:val="1"/>
    <w:next w:val="1"/>
    <w:qFormat/>
    <w:uiPriority w:val="0"/>
    <w:pPr>
      <w:ind w:left="200" w:leftChars="200" w:hanging="200" w:hangingChars="200"/>
    </w:pPr>
  </w:style>
  <w:style w:type="paragraph" w:styleId="74">
    <w:name w:val="toc 2"/>
    <w:basedOn w:val="1"/>
    <w:next w:val="1"/>
    <w:qFormat/>
    <w:uiPriority w:val="39"/>
    <w:pPr>
      <w:ind w:left="420" w:leftChars="200"/>
    </w:pPr>
  </w:style>
  <w:style w:type="paragraph" w:styleId="75">
    <w:name w:val="toc 9"/>
    <w:basedOn w:val="1"/>
    <w:next w:val="1"/>
    <w:qFormat/>
    <w:uiPriority w:val="0"/>
    <w:pPr>
      <w:ind w:left="3360" w:leftChars="1600"/>
    </w:pPr>
  </w:style>
  <w:style w:type="paragraph" w:styleId="76">
    <w:name w:val="Body Text 2"/>
    <w:basedOn w:val="1"/>
    <w:link w:val="136"/>
    <w:qFormat/>
    <w:uiPriority w:val="0"/>
    <w:pPr>
      <w:spacing w:after="120" w:line="480" w:lineRule="auto"/>
    </w:pPr>
  </w:style>
  <w:style w:type="paragraph" w:styleId="77">
    <w:name w:val="List 4"/>
    <w:basedOn w:val="1"/>
    <w:qFormat/>
    <w:uiPriority w:val="0"/>
    <w:pPr>
      <w:ind w:left="100" w:leftChars="600" w:hanging="200" w:hangingChars="200"/>
      <w:contextualSpacing/>
    </w:pPr>
  </w:style>
  <w:style w:type="paragraph" w:styleId="78">
    <w:name w:val="List Continue 2"/>
    <w:basedOn w:val="1"/>
    <w:qFormat/>
    <w:uiPriority w:val="0"/>
    <w:pPr>
      <w:spacing w:after="120"/>
      <w:ind w:left="840" w:leftChars="400"/>
      <w:contextualSpacing/>
    </w:p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Theme="majorHAnsi" w:hAnsiTheme="majorHAnsi" w:eastAsiaTheme="majorEastAsia" w:cstheme="majorBidi"/>
      <w:sz w:val="24"/>
      <w:szCs w:val="24"/>
    </w:rPr>
  </w:style>
  <w:style w:type="paragraph" w:styleId="80">
    <w:name w:val="HTML Preformatted"/>
    <w:basedOn w:val="1"/>
    <w:link w:val="100"/>
    <w:qFormat/>
    <w:uiPriority w:val="0"/>
    <w:rPr>
      <w:rFonts w:ascii="Courier New" w:hAnsi="Courier New" w:cs="Courier New"/>
      <w:sz w:val="20"/>
      <w:szCs w:val="20"/>
    </w:rPr>
  </w:style>
  <w:style w:type="paragraph" w:styleId="81">
    <w:name w:val="Normal (Web)"/>
    <w:basedOn w:val="1"/>
    <w:qFormat/>
    <w:uiPriority w:val="0"/>
    <w:rPr>
      <w:rFonts w:ascii="Times New Roman" w:hAnsi="Times New Roman" w:cs="Times New Roman"/>
      <w:sz w:val="24"/>
      <w:szCs w:val="24"/>
    </w:rPr>
  </w:style>
  <w:style w:type="paragraph" w:styleId="82">
    <w:name w:val="List Continue 3"/>
    <w:basedOn w:val="1"/>
    <w:qFormat/>
    <w:uiPriority w:val="0"/>
    <w:pPr>
      <w:spacing w:after="120"/>
      <w:ind w:left="1260" w:leftChars="600"/>
      <w:contextualSpacing/>
    </w:pPr>
  </w:style>
  <w:style w:type="paragraph" w:styleId="83">
    <w:name w:val="index 2"/>
    <w:basedOn w:val="1"/>
    <w:next w:val="1"/>
    <w:qFormat/>
    <w:uiPriority w:val="0"/>
    <w:pPr>
      <w:ind w:left="200" w:leftChars="200"/>
    </w:pPr>
  </w:style>
  <w:style w:type="paragraph" w:styleId="84">
    <w:name w:val="Title"/>
    <w:basedOn w:val="1"/>
    <w:next w:val="1"/>
    <w:link w:val="102"/>
    <w:qFormat/>
    <w:uiPriority w:val="0"/>
    <w:pPr>
      <w:spacing w:before="240" w:after="60"/>
      <w:jc w:val="center"/>
      <w:outlineLvl w:val="0"/>
    </w:pPr>
    <w:rPr>
      <w:rFonts w:asciiTheme="majorHAnsi" w:hAnsiTheme="majorHAnsi" w:eastAsiaTheme="majorEastAsia" w:cstheme="majorBidi"/>
      <w:b/>
      <w:bCs/>
      <w:sz w:val="32"/>
      <w:szCs w:val="32"/>
    </w:rPr>
  </w:style>
  <w:style w:type="paragraph" w:styleId="85">
    <w:name w:val="annotation subject"/>
    <w:basedOn w:val="28"/>
    <w:next w:val="28"/>
    <w:link w:val="122"/>
    <w:semiHidden/>
    <w:unhideWhenUsed/>
    <w:qFormat/>
    <w:uiPriority w:val="0"/>
    <w:rPr>
      <w:b/>
      <w:bCs/>
    </w:rPr>
  </w:style>
  <w:style w:type="paragraph" w:styleId="86">
    <w:name w:val="Body Text First Indent"/>
    <w:basedOn w:val="34"/>
    <w:link w:val="133"/>
    <w:qFormat/>
    <w:uiPriority w:val="0"/>
    <w:pPr>
      <w:ind w:firstLine="420" w:firstLineChars="100"/>
    </w:pPr>
  </w:style>
  <w:style w:type="paragraph" w:styleId="87">
    <w:name w:val="Body Text First Indent 2"/>
    <w:basedOn w:val="35"/>
    <w:link w:val="135"/>
    <w:qFormat/>
    <w:uiPriority w:val="0"/>
    <w:pPr>
      <w:ind w:firstLine="420" w:firstLineChars="200"/>
    </w:pPr>
  </w:style>
  <w:style w:type="table" w:styleId="89">
    <w:name w:val="Table Grid"/>
    <w:basedOn w:val="88"/>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FollowedHyperlink"/>
    <w:basedOn w:val="90"/>
    <w:qFormat/>
    <w:uiPriority w:val="0"/>
    <w:rPr>
      <w:color w:val="954F72" w:themeColor="followedHyperlink"/>
      <w:u w:val="single"/>
      <w14:textFill>
        <w14:solidFill>
          <w14:schemeClr w14:val="folHlink"/>
        </w14:solidFill>
      </w14:textFill>
    </w:rPr>
  </w:style>
  <w:style w:type="character" w:styleId="92">
    <w:name w:val="Hyperlink"/>
    <w:basedOn w:val="90"/>
    <w:qFormat/>
    <w:uiPriority w:val="99"/>
    <w:rPr>
      <w:color w:val="0563C1" w:themeColor="hyperlink"/>
      <w:u w:val="single"/>
      <w14:textFill>
        <w14:solidFill>
          <w14:schemeClr w14:val="hlink"/>
        </w14:solidFill>
      </w14:textFill>
    </w:rPr>
  </w:style>
  <w:style w:type="paragraph" w:customStyle="1" w:styleId="93">
    <w:name w:val="paragraph"/>
    <w:basedOn w:val="1"/>
    <w:qFormat/>
    <w:uiPriority w:val="0"/>
    <w:pPr>
      <w:widowControl/>
      <w:spacing w:before="100" w:beforeAutospacing="1" w:after="100" w:afterAutospacing="1"/>
      <w:jc w:val="left"/>
    </w:pPr>
    <w:rPr>
      <w:rFonts w:ascii="宋体" w:hAnsi="宋体" w:cs="宋体"/>
      <w:kern w:val="0"/>
      <w:sz w:val="24"/>
      <w:szCs w:val="24"/>
    </w:rPr>
  </w:style>
  <w:style w:type="paragraph" w:styleId="94">
    <w:name w:val="List Paragraph"/>
    <w:basedOn w:val="1"/>
    <w:qFormat/>
    <w:uiPriority w:val="99"/>
    <w:pPr>
      <w:ind w:firstLine="420" w:firstLineChars="200"/>
    </w:pPr>
  </w:style>
  <w:style w:type="paragraph" w:customStyle="1" w:styleId="95">
    <w:name w:val="WPSOffice手动目录 1"/>
    <w:qFormat/>
    <w:uiPriority w:val="0"/>
    <w:rPr>
      <w:rFonts w:ascii="Times New Roman" w:hAnsi="Times New Roman" w:eastAsia="宋体" w:cs="Times New Roman"/>
      <w:lang w:val="en-US" w:eastAsia="zh-CN" w:bidi="ar-SA"/>
    </w:rPr>
  </w:style>
  <w:style w:type="paragraph" w:customStyle="1" w:styleId="96">
    <w:name w:val="WPSOffice手动目录 2"/>
    <w:qFormat/>
    <w:uiPriority w:val="0"/>
    <w:pPr>
      <w:ind w:left="200" w:leftChars="200"/>
    </w:pPr>
    <w:rPr>
      <w:rFonts w:ascii="Times New Roman" w:hAnsi="Times New Roman" w:eastAsia="宋体" w:cs="Times New Roman"/>
      <w:lang w:val="en-US" w:eastAsia="zh-CN" w:bidi="ar-SA"/>
    </w:rPr>
  </w:style>
  <w:style w:type="character" w:customStyle="1" w:styleId="97">
    <w:name w:val="标题 1 字符"/>
    <w:basedOn w:val="90"/>
    <w:link w:val="3"/>
    <w:qFormat/>
    <w:uiPriority w:val="0"/>
    <w:rPr>
      <w:rFonts w:asciiTheme="minorHAnsi" w:hAnsiTheme="minorHAnsi" w:cstheme="minorBidi"/>
      <w:b/>
      <w:bCs/>
      <w:kern w:val="44"/>
      <w:sz w:val="44"/>
      <w:szCs w:val="44"/>
    </w:rPr>
  </w:style>
  <w:style w:type="paragraph" w:customStyle="1" w:styleId="98">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99">
    <w:name w:val="HTML 地址 字符"/>
    <w:basedOn w:val="90"/>
    <w:link w:val="41"/>
    <w:qFormat/>
    <w:uiPriority w:val="0"/>
    <w:rPr>
      <w:rFonts w:asciiTheme="minorHAnsi" w:hAnsiTheme="minorHAnsi" w:cstheme="minorBidi"/>
      <w:i/>
      <w:iCs/>
      <w:kern w:val="2"/>
      <w:sz w:val="21"/>
      <w:szCs w:val="21"/>
    </w:rPr>
  </w:style>
  <w:style w:type="character" w:customStyle="1" w:styleId="100">
    <w:name w:val="HTML 预设格式 字符"/>
    <w:basedOn w:val="90"/>
    <w:link w:val="80"/>
    <w:qFormat/>
    <w:uiPriority w:val="0"/>
    <w:rPr>
      <w:rFonts w:ascii="Courier New" w:hAnsi="Courier New" w:cs="Courier New"/>
      <w:kern w:val="2"/>
    </w:rPr>
  </w:style>
  <w:style w:type="paragraph" w:customStyle="1" w:styleId="101">
    <w:name w:val="TOC Heading"/>
    <w:basedOn w:val="3"/>
    <w:next w:val="1"/>
    <w:semiHidden/>
    <w:unhideWhenUsed/>
    <w:qFormat/>
    <w:uiPriority w:val="39"/>
    <w:pPr>
      <w:outlineLvl w:val="9"/>
    </w:pPr>
  </w:style>
  <w:style w:type="character" w:customStyle="1" w:styleId="102">
    <w:name w:val="标题 字符"/>
    <w:basedOn w:val="90"/>
    <w:link w:val="84"/>
    <w:qFormat/>
    <w:uiPriority w:val="0"/>
    <w:rPr>
      <w:rFonts w:asciiTheme="majorHAnsi" w:hAnsiTheme="majorHAnsi" w:eastAsiaTheme="majorEastAsia" w:cstheme="majorBidi"/>
      <w:b/>
      <w:bCs/>
      <w:kern w:val="2"/>
      <w:sz w:val="32"/>
      <w:szCs w:val="32"/>
    </w:rPr>
  </w:style>
  <w:style w:type="character" w:customStyle="1" w:styleId="103">
    <w:name w:val="标题 2 字符"/>
    <w:basedOn w:val="90"/>
    <w:link w:val="4"/>
    <w:semiHidden/>
    <w:qFormat/>
    <w:uiPriority w:val="0"/>
    <w:rPr>
      <w:rFonts w:asciiTheme="majorHAnsi" w:hAnsiTheme="majorHAnsi" w:eastAsiaTheme="majorEastAsia" w:cstheme="majorBidi"/>
      <w:b/>
      <w:bCs/>
      <w:kern w:val="2"/>
      <w:sz w:val="32"/>
      <w:szCs w:val="32"/>
    </w:rPr>
  </w:style>
  <w:style w:type="character" w:customStyle="1" w:styleId="104">
    <w:name w:val="标题 3 字符"/>
    <w:basedOn w:val="90"/>
    <w:link w:val="5"/>
    <w:semiHidden/>
    <w:qFormat/>
    <w:uiPriority w:val="0"/>
    <w:rPr>
      <w:rFonts w:asciiTheme="minorHAnsi" w:hAnsiTheme="minorHAnsi" w:cstheme="minorBidi"/>
      <w:b/>
      <w:bCs/>
      <w:kern w:val="2"/>
      <w:sz w:val="32"/>
      <w:szCs w:val="32"/>
    </w:rPr>
  </w:style>
  <w:style w:type="character" w:customStyle="1" w:styleId="105">
    <w:name w:val="标题 4 字符"/>
    <w:basedOn w:val="90"/>
    <w:link w:val="6"/>
    <w:semiHidden/>
    <w:qFormat/>
    <w:uiPriority w:val="0"/>
    <w:rPr>
      <w:rFonts w:asciiTheme="majorHAnsi" w:hAnsiTheme="majorHAnsi" w:eastAsiaTheme="majorEastAsia" w:cstheme="majorBidi"/>
      <w:b/>
      <w:bCs/>
      <w:kern w:val="2"/>
      <w:sz w:val="28"/>
      <w:szCs w:val="28"/>
    </w:rPr>
  </w:style>
  <w:style w:type="character" w:customStyle="1" w:styleId="106">
    <w:name w:val="标题 5 字符"/>
    <w:basedOn w:val="90"/>
    <w:link w:val="7"/>
    <w:semiHidden/>
    <w:qFormat/>
    <w:uiPriority w:val="0"/>
    <w:rPr>
      <w:rFonts w:asciiTheme="minorHAnsi" w:hAnsiTheme="minorHAnsi" w:cstheme="minorBidi"/>
      <w:b/>
      <w:bCs/>
      <w:kern w:val="2"/>
      <w:sz w:val="28"/>
      <w:szCs w:val="28"/>
    </w:rPr>
  </w:style>
  <w:style w:type="character" w:customStyle="1" w:styleId="107">
    <w:name w:val="标题 6 字符"/>
    <w:basedOn w:val="90"/>
    <w:link w:val="8"/>
    <w:semiHidden/>
    <w:qFormat/>
    <w:uiPriority w:val="0"/>
    <w:rPr>
      <w:rFonts w:asciiTheme="majorHAnsi" w:hAnsiTheme="majorHAnsi" w:eastAsiaTheme="majorEastAsia" w:cstheme="majorBidi"/>
      <w:b/>
      <w:bCs/>
      <w:kern w:val="2"/>
      <w:sz w:val="24"/>
      <w:szCs w:val="24"/>
    </w:rPr>
  </w:style>
  <w:style w:type="character" w:customStyle="1" w:styleId="108">
    <w:name w:val="标题 7 字符"/>
    <w:basedOn w:val="90"/>
    <w:link w:val="9"/>
    <w:semiHidden/>
    <w:qFormat/>
    <w:uiPriority w:val="0"/>
    <w:rPr>
      <w:rFonts w:asciiTheme="minorHAnsi" w:hAnsiTheme="minorHAnsi" w:cstheme="minorBidi"/>
      <w:b/>
      <w:bCs/>
      <w:kern w:val="2"/>
      <w:sz w:val="24"/>
      <w:szCs w:val="24"/>
    </w:rPr>
  </w:style>
  <w:style w:type="character" w:customStyle="1" w:styleId="109">
    <w:name w:val="标题 8 字符"/>
    <w:basedOn w:val="90"/>
    <w:link w:val="10"/>
    <w:semiHidden/>
    <w:qFormat/>
    <w:uiPriority w:val="0"/>
    <w:rPr>
      <w:rFonts w:asciiTheme="majorHAnsi" w:hAnsiTheme="majorHAnsi" w:eastAsiaTheme="majorEastAsia" w:cstheme="majorBidi"/>
      <w:kern w:val="2"/>
      <w:sz w:val="24"/>
      <w:szCs w:val="24"/>
    </w:rPr>
  </w:style>
  <w:style w:type="character" w:customStyle="1" w:styleId="110">
    <w:name w:val="标题 9 字符"/>
    <w:basedOn w:val="90"/>
    <w:link w:val="11"/>
    <w:semiHidden/>
    <w:qFormat/>
    <w:uiPriority w:val="0"/>
    <w:rPr>
      <w:rFonts w:asciiTheme="majorHAnsi" w:hAnsiTheme="majorHAnsi" w:eastAsiaTheme="majorEastAsia" w:cstheme="majorBidi"/>
      <w:kern w:val="2"/>
      <w:sz w:val="21"/>
      <w:szCs w:val="21"/>
    </w:rPr>
  </w:style>
  <w:style w:type="character" w:customStyle="1" w:styleId="111">
    <w:name w:val="称呼 字符"/>
    <w:basedOn w:val="90"/>
    <w:link w:val="30"/>
    <w:qFormat/>
    <w:uiPriority w:val="0"/>
    <w:rPr>
      <w:rFonts w:asciiTheme="minorHAnsi" w:hAnsiTheme="minorHAnsi" w:cstheme="minorBidi"/>
      <w:kern w:val="2"/>
      <w:sz w:val="21"/>
      <w:szCs w:val="21"/>
    </w:rPr>
  </w:style>
  <w:style w:type="character" w:customStyle="1" w:styleId="112">
    <w:name w:val="纯文本 字符"/>
    <w:basedOn w:val="90"/>
    <w:link w:val="45"/>
    <w:qFormat/>
    <w:uiPriority w:val="0"/>
    <w:rPr>
      <w:rFonts w:hAnsi="Courier New" w:cs="Courier New" w:asciiTheme="minorEastAsia" w:eastAsiaTheme="minorEastAsia"/>
      <w:kern w:val="2"/>
      <w:sz w:val="21"/>
      <w:szCs w:val="21"/>
    </w:rPr>
  </w:style>
  <w:style w:type="character" w:customStyle="1" w:styleId="113">
    <w:name w:val="电子邮件签名 字符"/>
    <w:basedOn w:val="90"/>
    <w:link w:val="19"/>
    <w:qFormat/>
    <w:uiPriority w:val="0"/>
    <w:rPr>
      <w:rFonts w:asciiTheme="minorHAnsi" w:hAnsiTheme="minorHAnsi" w:cstheme="minorBidi"/>
      <w:kern w:val="2"/>
      <w:sz w:val="21"/>
      <w:szCs w:val="21"/>
    </w:rPr>
  </w:style>
  <w:style w:type="character" w:customStyle="1" w:styleId="114">
    <w:name w:val="副标题 字符"/>
    <w:basedOn w:val="90"/>
    <w:link w:val="64"/>
    <w:qFormat/>
    <w:uiPriority w:val="0"/>
    <w:rPr>
      <w:rFonts w:asciiTheme="minorHAnsi" w:hAnsiTheme="minorHAnsi" w:eastAsiaTheme="minorEastAsia" w:cstheme="minorBidi"/>
      <w:b/>
      <w:bCs/>
      <w:kern w:val="28"/>
      <w:sz w:val="32"/>
      <w:szCs w:val="32"/>
    </w:rPr>
  </w:style>
  <w:style w:type="character" w:customStyle="1" w:styleId="115">
    <w:name w:val="宏文本 字符"/>
    <w:basedOn w:val="90"/>
    <w:link w:val="2"/>
    <w:qFormat/>
    <w:uiPriority w:val="0"/>
    <w:rPr>
      <w:rFonts w:ascii="Courier New" w:hAnsi="Courier New" w:cs="Courier New"/>
      <w:kern w:val="2"/>
      <w:sz w:val="24"/>
      <w:szCs w:val="24"/>
    </w:rPr>
  </w:style>
  <w:style w:type="character" w:customStyle="1" w:styleId="116">
    <w:name w:val="脚注文本 字符"/>
    <w:basedOn w:val="90"/>
    <w:link w:val="67"/>
    <w:qFormat/>
    <w:uiPriority w:val="0"/>
    <w:rPr>
      <w:rFonts w:asciiTheme="minorHAnsi" w:hAnsiTheme="minorHAnsi" w:cstheme="minorBidi"/>
      <w:kern w:val="2"/>
      <w:sz w:val="18"/>
      <w:szCs w:val="18"/>
    </w:rPr>
  </w:style>
  <w:style w:type="character" w:customStyle="1" w:styleId="117">
    <w:name w:val="结束语 字符"/>
    <w:basedOn w:val="90"/>
    <w:link w:val="32"/>
    <w:qFormat/>
    <w:uiPriority w:val="0"/>
    <w:rPr>
      <w:rFonts w:asciiTheme="minorHAnsi" w:hAnsiTheme="minorHAnsi" w:cstheme="minorBidi"/>
      <w:kern w:val="2"/>
      <w:sz w:val="21"/>
      <w:szCs w:val="21"/>
    </w:rPr>
  </w:style>
  <w:style w:type="paragraph" w:styleId="118">
    <w:name w:val="Intense Quote"/>
    <w:basedOn w:val="1"/>
    <w:next w:val="1"/>
    <w:link w:val="119"/>
    <w:qFormat/>
    <w:uiPriority w:val="99"/>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19">
    <w:name w:val="明显引用 字符"/>
    <w:basedOn w:val="90"/>
    <w:link w:val="118"/>
    <w:qFormat/>
    <w:uiPriority w:val="99"/>
    <w:rPr>
      <w:rFonts w:asciiTheme="minorHAnsi" w:hAnsiTheme="minorHAnsi" w:cstheme="minorBidi"/>
      <w:i/>
      <w:iCs/>
      <w:color w:val="5B9BD5" w:themeColor="accent1"/>
      <w:kern w:val="2"/>
      <w:sz w:val="21"/>
      <w:szCs w:val="21"/>
      <w14:textFill>
        <w14:solidFill>
          <w14:schemeClr w14:val="accent1"/>
        </w14:solidFill>
      </w14:textFill>
    </w:rPr>
  </w:style>
  <w:style w:type="character" w:customStyle="1" w:styleId="120">
    <w:name w:val="批注框文本 字符"/>
    <w:basedOn w:val="90"/>
    <w:link w:val="54"/>
    <w:semiHidden/>
    <w:qFormat/>
    <w:uiPriority w:val="0"/>
    <w:rPr>
      <w:rFonts w:asciiTheme="minorHAnsi" w:hAnsiTheme="minorHAnsi" w:cstheme="minorBidi"/>
      <w:kern w:val="2"/>
      <w:sz w:val="18"/>
      <w:szCs w:val="18"/>
    </w:rPr>
  </w:style>
  <w:style w:type="character" w:customStyle="1" w:styleId="121">
    <w:name w:val="批注文字 字符"/>
    <w:basedOn w:val="90"/>
    <w:link w:val="28"/>
    <w:qFormat/>
    <w:uiPriority w:val="0"/>
    <w:rPr>
      <w:rFonts w:asciiTheme="minorHAnsi" w:hAnsiTheme="minorHAnsi" w:cstheme="minorBidi"/>
      <w:kern w:val="2"/>
      <w:sz w:val="21"/>
      <w:szCs w:val="21"/>
    </w:rPr>
  </w:style>
  <w:style w:type="character" w:customStyle="1" w:styleId="122">
    <w:name w:val="批注主题 字符"/>
    <w:basedOn w:val="121"/>
    <w:link w:val="85"/>
    <w:semiHidden/>
    <w:qFormat/>
    <w:uiPriority w:val="0"/>
    <w:rPr>
      <w:rFonts w:asciiTheme="minorHAnsi" w:hAnsiTheme="minorHAnsi" w:cstheme="minorBidi"/>
      <w:b/>
      <w:bCs/>
      <w:kern w:val="2"/>
      <w:sz w:val="21"/>
      <w:szCs w:val="21"/>
    </w:rPr>
  </w:style>
  <w:style w:type="character" w:customStyle="1" w:styleId="123">
    <w:name w:val="签名 字符"/>
    <w:basedOn w:val="90"/>
    <w:link w:val="58"/>
    <w:qFormat/>
    <w:uiPriority w:val="0"/>
    <w:rPr>
      <w:rFonts w:asciiTheme="minorHAnsi" w:hAnsiTheme="minorHAnsi" w:cstheme="minorBidi"/>
      <w:kern w:val="2"/>
      <w:sz w:val="21"/>
      <w:szCs w:val="21"/>
    </w:rPr>
  </w:style>
  <w:style w:type="character" w:customStyle="1" w:styleId="124">
    <w:name w:val="日期 字符"/>
    <w:basedOn w:val="90"/>
    <w:link w:val="50"/>
    <w:qFormat/>
    <w:uiPriority w:val="0"/>
    <w:rPr>
      <w:rFonts w:asciiTheme="minorHAnsi" w:hAnsiTheme="minorHAnsi" w:cstheme="minorBidi"/>
      <w:kern w:val="2"/>
      <w:sz w:val="21"/>
      <w:szCs w:val="21"/>
    </w:rPr>
  </w:style>
  <w:style w:type="paragraph" w:customStyle="1" w:styleId="125">
    <w:name w:val="Bibliography"/>
    <w:basedOn w:val="1"/>
    <w:next w:val="1"/>
    <w:semiHidden/>
    <w:unhideWhenUsed/>
    <w:qFormat/>
    <w:uiPriority w:val="37"/>
  </w:style>
  <w:style w:type="character" w:customStyle="1" w:styleId="126">
    <w:name w:val="尾注文本 字符"/>
    <w:basedOn w:val="90"/>
    <w:link w:val="52"/>
    <w:qFormat/>
    <w:uiPriority w:val="0"/>
    <w:rPr>
      <w:rFonts w:asciiTheme="minorHAnsi" w:hAnsiTheme="minorHAnsi" w:cstheme="minorBidi"/>
      <w:kern w:val="2"/>
      <w:sz w:val="21"/>
      <w:szCs w:val="21"/>
    </w:rPr>
  </w:style>
  <w:style w:type="character" w:customStyle="1" w:styleId="127">
    <w:name w:val="文档结构图 字符"/>
    <w:basedOn w:val="90"/>
    <w:link w:val="26"/>
    <w:qFormat/>
    <w:uiPriority w:val="0"/>
    <w:rPr>
      <w:rFonts w:ascii="Microsoft YaHei UI" w:eastAsia="Microsoft YaHei UI" w:hAnsiTheme="minorHAnsi" w:cstheme="minorBidi"/>
      <w:kern w:val="2"/>
      <w:sz w:val="18"/>
      <w:szCs w:val="18"/>
    </w:rPr>
  </w:style>
  <w:style w:type="paragraph" w:styleId="128">
    <w:name w:val="No Spacing"/>
    <w:qFormat/>
    <w:uiPriority w:val="99"/>
    <w:pPr>
      <w:widowControl w:val="0"/>
      <w:jc w:val="both"/>
    </w:pPr>
    <w:rPr>
      <w:rFonts w:eastAsia="宋体" w:asciiTheme="minorHAnsi" w:hAnsiTheme="minorHAnsi" w:cstheme="minorBidi"/>
      <w:kern w:val="2"/>
      <w:sz w:val="21"/>
      <w:szCs w:val="21"/>
      <w:lang w:val="en-US" w:eastAsia="zh-CN" w:bidi="ar-SA"/>
    </w:rPr>
  </w:style>
  <w:style w:type="character" w:customStyle="1" w:styleId="129">
    <w:name w:val="信息标题 字符"/>
    <w:basedOn w:val="90"/>
    <w:link w:val="79"/>
    <w:qFormat/>
    <w:uiPriority w:val="0"/>
    <w:rPr>
      <w:rFonts w:asciiTheme="majorHAnsi" w:hAnsiTheme="majorHAnsi" w:eastAsiaTheme="majorEastAsia" w:cstheme="majorBidi"/>
      <w:kern w:val="2"/>
      <w:sz w:val="24"/>
      <w:szCs w:val="24"/>
      <w:shd w:val="pct20" w:color="auto" w:fill="auto"/>
    </w:rPr>
  </w:style>
  <w:style w:type="paragraph" w:styleId="130">
    <w:name w:val="Quote"/>
    <w:basedOn w:val="1"/>
    <w:next w:val="1"/>
    <w:link w:val="131"/>
    <w:qFormat/>
    <w:uiPriority w:val="99"/>
    <w:pPr>
      <w:spacing w:before="200" w:after="160"/>
      <w:ind w:left="864" w:right="864"/>
      <w:jc w:val="center"/>
    </w:pPr>
    <w:rPr>
      <w:i/>
      <w:iCs/>
      <w:color w:val="404040" w:themeColor="text1" w:themeTint="BF"/>
      <w14:textFill>
        <w14:solidFill>
          <w14:schemeClr w14:val="tx1">
            <w14:lumMod w14:val="75000"/>
            <w14:lumOff w14:val="25000"/>
          </w14:schemeClr>
        </w14:solidFill>
      </w14:textFill>
    </w:rPr>
  </w:style>
  <w:style w:type="character" w:customStyle="1" w:styleId="131">
    <w:name w:val="引用 字符"/>
    <w:basedOn w:val="90"/>
    <w:link w:val="130"/>
    <w:qFormat/>
    <w:uiPriority w:val="99"/>
    <w:rPr>
      <w:rFonts w:asciiTheme="minorHAnsi" w:hAnsiTheme="minorHAnsi" w:cstheme="minorBidi"/>
      <w:i/>
      <w:iCs/>
      <w:color w:val="404040" w:themeColor="text1" w:themeTint="BF"/>
      <w:kern w:val="2"/>
      <w:sz w:val="21"/>
      <w:szCs w:val="21"/>
      <w14:textFill>
        <w14:solidFill>
          <w14:schemeClr w14:val="tx1">
            <w14:lumMod w14:val="75000"/>
            <w14:lumOff w14:val="25000"/>
          </w14:schemeClr>
        </w14:solidFill>
      </w14:textFill>
    </w:rPr>
  </w:style>
  <w:style w:type="character" w:customStyle="1" w:styleId="132">
    <w:name w:val="正文文本 字符"/>
    <w:basedOn w:val="90"/>
    <w:link w:val="34"/>
    <w:qFormat/>
    <w:uiPriority w:val="0"/>
    <w:rPr>
      <w:rFonts w:asciiTheme="minorHAnsi" w:hAnsiTheme="minorHAnsi" w:cstheme="minorBidi"/>
      <w:kern w:val="2"/>
      <w:sz w:val="21"/>
      <w:szCs w:val="21"/>
    </w:rPr>
  </w:style>
  <w:style w:type="character" w:customStyle="1" w:styleId="133">
    <w:name w:val="正文首行缩进 字符"/>
    <w:basedOn w:val="132"/>
    <w:link w:val="86"/>
    <w:qFormat/>
    <w:uiPriority w:val="0"/>
    <w:rPr>
      <w:rFonts w:asciiTheme="minorHAnsi" w:hAnsiTheme="minorHAnsi" w:cstheme="minorBidi"/>
      <w:kern w:val="2"/>
      <w:sz w:val="21"/>
      <w:szCs w:val="21"/>
    </w:rPr>
  </w:style>
  <w:style w:type="character" w:customStyle="1" w:styleId="134">
    <w:name w:val="正文文本缩进 字符"/>
    <w:basedOn w:val="90"/>
    <w:link w:val="35"/>
    <w:qFormat/>
    <w:uiPriority w:val="0"/>
    <w:rPr>
      <w:rFonts w:asciiTheme="minorHAnsi" w:hAnsiTheme="minorHAnsi" w:cstheme="minorBidi"/>
      <w:kern w:val="2"/>
      <w:sz w:val="21"/>
      <w:szCs w:val="21"/>
    </w:rPr>
  </w:style>
  <w:style w:type="character" w:customStyle="1" w:styleId="135">
    <w:name w:val="正文首行缩进 2 字符"/>
    <w:basedOn w:val="134"/>
    <w:link w:val="87"/>
    <w:qFormat/>
    <w:uiPriority w:val="0"/>
    <w:rPr>
      <w:rFonts w:asciiTheme="minorHAnsi" w:hAnsiTheme="minorHAnsi" w:cstheme="minorBidi"/>
      <w:kern w:val="2"/>
      <w:sz w:val="21"/>
      <w:szCs w:val="21"/>
    </w:rPr>
  </w:style>
  <w:style w:type="character" w:customStyle="1" w:styleId="136">
    <w:name w:val="正文文本 2 字符"/>
    <w:basedOn w:val="90"/>
    <w:link w:val="76"/>
    <w:qFormat/>
    <w:uiPriority w:val="0"/>
    <w:rPr>
      <w:rFonts w:asciiTheme="minorHAnsi" w:hAnsiTheme="minorHAnsi" w:cstheme="minorBidi"/>
      <w:kern w:val="2"/>
      <w:sz w:val="21"/>
      <w:szCs w:val="21"/>
    </w:rPr>
  </w:style>
  <w:style w:type="character" w:customStyle="1" w:styleId="137">
    <w:name w:val="正文文本 3 字符"/>
    <w:basedOn w:val="90"/>
    <w:link w:val="31"/>
    <w:qFormat/>
    <w:uiPriority w:val="0"/>
    <w:rPr>
      <w:rFonts w:asciiTheme="minorHAnsi" w:hAnsiTheme="minorHAnsi" w:cstheme="minorBidi"/>
      <w:kern w:val="2"/>
      <w:sz w:val="16"/>
      <w:szCs w:val="16"/>
    </w:rPr>
  </w:style>
  <w:style w:type="character" w:customStyle="1" w:styleId="138">
    <w:name w:val="正文文本缩进 2 字符"/>
    <w:basedOn w:val="90"/>
    <w:link w:val="51"/>
    <w:qFormat/>
    <w:uiPriority w:val="0"/>
    <w:rPr>
      <w:rFonts w:asciiTheme="minorHAnsi" w:hAnsiTheme="minorHAnsi" w:cstheme="minorBidi"/>
      <w:kern w:val="2"/>
      <w:sz w:val="21"/>
      <w:szCs w:val="21"/>
    </w:rPr>
  </w:style>
  <w:style w:type="character" w:customStyle="1" w:styleId="139">
    <w:name w:val="正文文本缩进 3 字符"/>
    <w:basedOn w:val="90"/>
    <w:link w:val="70"/>
    <w:qFormat/>
    <w:uiPriority w:val="0"/>
    <w:rPr>
      <w:rFonts w:asciiTheme="minorHAnsi" w:hAnsiTheme="minorHAnsi" w:cstheme="minorBidi"/>
      <w:kern w:val="2"/>
      <w:sz w:val="16"/>
      <w:szCs w:val="16"/>
    </w:rPr>
  </w:style>
  <w:style w:type="character" w:customStyle="1" w:styleId="140">
    <w:name w:val="注释标题 字符"/>
    <w:basedOn w:val="90"/>
    <w:link w:val="16"/>
    <w:qFormat/>
    <w:uiPriority w:val="0"/>
    <w:rPr>
      <w:rFonts w:asciiTheme="minorHAnsi" w:hAnsiTheme="minorHAnsi" w:cstheme="minorBidi"/>
      <w:kern w:val="2"/>
      <w:sz w:val="21"/>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BB62F3-7168-4816-BD3F-CA0CD344F37D}">
  <ds:schemaRefs/>
</ds:datastoreItem>
</file>

<file path=docProps/app.xml><?xml version="1.0" encoding="utf-8"?>
<Properties xmlns="http://schemas.openxmlformats.org/officeDocument/2006/extended-properties" xmlns:vt="http://schemas.openxmlformats.org/officeDocument/2006/docPropsVTypes">
  <Template>Normal</Template>
  <Pages>10</Pages>
  <Words>1699</Words>
  <Characters>9686</Characters>
  <Lines>80</Lines>
  <Paragraphs>22</Paragraphs>
  <TotalTime>0</TotalTime>
  <ScaleCrop>false</ScaleCrop>
  <LinksUpToDate>false</LinksUpToDate>
  <CharactersWithSpaces>11363</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2022-11-15T10:06:00Z</dcterms:created>
  <dc:creator>yanjiusuo</dc:creator>
  <cp:lastModifiedBy>yang.jiahong</cp:lastModifiedBy>
  <cp:lastPrinted>2023-06-08T02:23:00Z</cp:lastPrinted>
  <dcterms:modified xsi:type="dcterms:W3CDTF">2024-03-06T03:01:02Z</dcterms:modified>
  <cp:revision>158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88F59B570830480FBD960522A6F97CC7</vt:lpwstr>
  </property>
</Properties>
</file>