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bookmarkStart w:id="0" w:name="_top"/>
      <w:bookmarkEnd w:id="0"/>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98"/>
            <w:rPr>
              <w:b/>
              <w:bCs/>
            </w:rPr>
          </w:pPr>
          <w:bookmarkStart w:id="46" w:name="_GoBack"/>
          <w:bookmarkEnd w:id="46"/>
        </w:p>
        <w:p>
          <w:pPr>
            <w:pStyle w:val="59"/>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_Toc15920 </w:instrText>
          </w:r>
          <w:r>
            <w:rPr>
              <w:bCs/>
            </w:rPr>
            <w:fldChar w:fldCharType="separate"/>
          </w:r>
          <w:r>
            <w:rPr>
              <w:rFonts w:hint="eastAsia" w:ascii="Times New Roman" w:hAnsi="Times New Roman" w:eastAsia="楷体"/>
              <w:szCs w:val="30"/>
            </w:rPr>
            <w:t>[金融]</w:t>
          </w:r>
          <w:r>
            <w:rPr>
              <w:bCs/>
            </w:rPr>
            <w:fldChar w:fldCharType="end"/>
          </w:r>
        </w:p>
        <w:p>
          <w:pPr>
            <w:pStyle w:val="74"/>
            <w:tabs>
              <w:tab w:val="right" w:leader="dot" w:pos="8306"/>
            </w:tabs>
          </w:pPr>
          <w:r>
            <w:rPr>
              <w:bCs/>
            </w:rPr>
            <w:fldChar w:fldCharType="begin"/>
          </w:r>
          <w:r>
            <w:rPr>
              <w:bCs/>
            </w:rPr>
            <w:instrText xml:space="preserve"> HYPERLINK \l _Toc27014 </w:instrText>
          </w:r>
          <w:r>
            <w:rPr>
              <w:bCs/>
            </w:rPr>
            <w:fldChar w:fldCharType="separate"/>
          </w:r>
          <w:r>
            <w:rPr>
              <w:rFonts w:hint="eastAsia" w:ascii="Times New Roman" w:hAnsi="Times New Roman" w:eastAsia="楷体"/>
              <w:szCs w:val="24"/>
            </w:rPr>
            <w:t>股指：调整后低多</w:t>
          </w:r>
          <w:r>
            <w:rPr>
              <w:bCs/>
            </w:rPr>
            <w:fldChar w:fldCharType="end"/>
          </w:r>
        </w:p>
        <w:p>
          <w:pPr>
            <w:pStyle w:val="59"/>
            <w:tabs>
              <w:tab w:val="right" w:leader="dot" w:pos="8306"/>
            </w:tabs>
          </w:pPr>
          <w:r>
            <w:rPr>
              <w:bCs/>
            </w:rPr>
            <w:fldChar w:fldCharType="begin"/>
          </w:r>
          <w:r>
            <w:rPr>
              <w:bCs/>
            </w:rPr>
            <w:instrText xml:space="preserve"> HYPERLINK \l _Toc5230 </w:instrText>
          </w:r>
          <w:r>
            <w:rPr>
              <w:bCs/>
            </w:rPr>
            <w:fldChar w:fldCharType="separate"/>
          </w:r>
          <w:r>
            <w:rPr>
              <w:rFonts w:hint="eastAsia" w:ascii="Times New Roman" w:hAnsi="Times New Roman" w:eastAsia="楷体"/>
              <w:szCs w:val="30"/>
            </w:rPr>
            <w:t>[贵金属]</w:t>
          </w:r>
          <w:r>
            <w:rPr>
              <w:bCs/>
            </w:rPr>
            <w:fldChar w:fldCharType="end"/>
          </w:r>
        </w:p>
        <w:p>
          <w:pPr>
            <w:pStyle w:val="74"/>
            <w:tabs>
              <w:tab w:val="right" w:leader="dot" w:pos="8306"/>
            </w:tabs>
          </w:pPr>
          <w:r>
            <w:rPr>
              <w:bCs/>
            </w:rPr>
            <w:fldChar w:fldCharType="begin"/>
          </w:r>
          <w:r>
            <w:rPr>
              <w:bCs/>
            </w:rPr>
            <w:instrText xml:space="preserve"> HYPERLINK \l _Toc32295 </w:instrText>
          </w:r>
          <w:r>
            <w:rPr>
              <w:bCs/>
            </w:rPr>
            <w:fldChar w:fldCharType="separate"/>
          </w:r>
          <w:r>
            <w:rPr>
              <w:rFonts w:hint="eastAsia" w:ascii="Times New Roman" w:hAnsi="Times New Roman" w:eastAsia="楷体"/>
              <w:szCs w:val="24"/>
            </w:rPr>
            <w:t>贵金属：美国四季度GDP增速略低于预期，贵金属价格窄幅震荡</w:t>
          </w:r>
          <w:r>
            <w:rPr>
              <w:bCs/>
            </w:rPr>
            <w:fldChar w:fldCharType="end"/>
          </w:r>
        </w:p>
        <w:p>
          <w:pPr>
            <w:pStyle w:val="59"/>
            <w:tabs>
              <w:tab w:val="right" w:leader="dot" w:pos="8306"/>
            </w:tabs>
          </w:pPr>
          <w:r>
            <w:rPr>
              <w:bCs/>
            </w:rPr>
            <w:fldChar w:fldCharType="begin"/>
          </w:r>
          <w:r>
            <w:rPr>
              <w:bCs/>
            </w:rPr>
            <w:instrText xml:space="preserve"> HYPERLINK \l _Toc28187 </w:instrText>
          </w:r>
          <w:r>
            <w:rPr>
              <w:bCs/>
            </w:rPr>
            <w:fldChar w:fldCharType="separate"/>
          </w:r>
          <w:r>
            <w:rPr>
              <w:rFonts w:hint="eastAsia" w:ascii="Times New Roman" w:hAnsi="Times New Roman" w:eastAsia="楷体"/>
              <w:szCs w:val="30"/>
            </w:rPr>
            <w:t>[金属]</w:t>
          </w:r>
          <w:r>
            <w:rPr>
              <w:bCs/>
            </w:rPr>
            <w:fldChar w:fldCharType="end"/>
          </w:r>
        </w:p>
        <w:p>
          <w:pPr>
            <w:pStyle w:val="74"/>
            <w:tabs>
              <w:tab w:val="right" w:leader="dot" w:pos="8306"/>
            </w:tabs>
          </w:pPr>
          <w:r>
            <w:rPr>
              <w:bCs/>
            </w:rPr>
            <w:fldChar w:fldCharType="begin"/>
          </w:r>
          <w:r>
            <w:rPr>
              <w:bCs/>
            </w:rPr>
            <w:instrText xml:space="preserve"> HYPERLINK \l _Toc4499 </w:instrText>
          </w:r>
          <w:r>
            <w:rPr>
              <w:bCs/>
            </w:rPr>
            <w:fldChar w:fldCharType="separate"/>
          </w:r>
          <w:r>
            <w:rPr>
              <w:rFonts w:hint="eastAsia" w:ascii="楷体" w:hAnsi="楷体" w:eastAsia="楷体"/>
              <w:szCs w:val="24"/>
            </w:rPr>
            <w:t>碳酸锂：消息面因素引导市场情绪，期价延续涨势</w:t>
          </w:r>
          <w:r>
            <w:rPr>
              <w:bCs/>
            </w:rPr>
            <w:fldChar w:fldCharType="end"/>
          </w:r>
        </w:p>
        <w:p>
          <w:pPr>
            <w:pStyle w:val="74"/>
            <w:tabs>
              <w:tab w:val="right" w:leader="dot" w:pos="8306"/>
            </w:tabs>
          </w:pPr>
          <w:r>
            <w:rPr>
              <w:bCs/>
            </w:rPr>
            <w:fldChar w:fldCharType="begin"/>
          </w:r>
          <w:r>
            <w:rPr>
              <w:bCs/>
            </w:rPr>
            <w:instrText xml:space="preserve"> HYPERLINK \l _Toc7458 </w:instrText>
          </w:r>
          <w:r>
            <w:rPr>
              <w:bCs/>
            </w:rPr>
            <w:fldChar w:fldCharType="separate"/>
          </w:r>
          <w:r>
            <w:rPr>
              <w:rFonts w:hint="eastAsia" w:ascii="楷体" w:hAnsi="楷体" w:eastAsia="楷体"/>
              <w:szCs w:val="24"/>
            </w:rPr>
            <w:t>铜：短期维持偏弱震荡，关注美国1月核心PCE数据</w:t>
          </w:r>
          <w:r>
            <w:rPr>
              <w:bCs/>
            </w:rPr>
            <w:fldChar w:fldCharType="end"/>
          </w:r>
        </w:p>
        <w:p>
          <w:pPr>
            <w:pStyle w:val="74"/>
            <w:tabs>
              <w:tab w:val="right" w:leader="dot" w:pos="8306"/>
            </w:tabs>
          </w:pPr>
          <w:r>
            <w:rPr>
              <w:bCs/>
            </w:rPr>
            <w:fldChar w:fldCharType="begin"/>
          </w:r>
          <w:r>
            <w:rPr>
              <w:bCs/>
            </w:rPr>
            <w:instrText xml:space="preserve"> HYPERLINK \l _Toc26817 </w:instrText>
          </w:r>
          <w:r>
            <w:rPr>
              <w:bCs/>
            </w:rPr>
            <w:fldChar w:fldCharType="separate"/>
          </w:r>
          <w:r>
            <w:rPr>
              <w:rFonts w:hint="eastAsia" w:ascii="楷体" w:hAnsi="楷体" w:eastAsia="楷体"/>
              <w:szCs w:val="24"/>
            </w:rPr>
            <w:t>铝：铝价窄幅震荡为主</w:t>
          </w:r>
          <w:r>
            <w:rPr>
              <w:bCs/>
            </w:rPr>
            <w:fldChar w:fldCharType="end"/>
          </w:r>
        </w:p>
        <w:p>
          <w:pPr>
            <w:pStyle w:val="74"/>
            <w:tabs>
              <w:tab w:val="right" w:leader="dot" w:pos="8306"/>
            </w:tabs>
          </w:pPr>
          <w:r>
            <w:rPr>
              <w:bCs/>
            </w:rPr>
            <w:fldChar w:fldCharType="begin"/>
          </w:r>
          <w:r>
            <w:rPr>
              <w:bCs/>
            </w:rPr>
            <w:instrText xml:space="preserve"> HYPERLINK \l _Toc2670 </w:instrText>
          </w:r>
          <w:r>
            <w:rPr>
              <w:bCs/>
            </w:rPr>
            <w:fldChar w:fldCharType="separate"/>
          </w:r>
          <w:r>
            <w:rPr>
              <w:rFonts w:hint="eastAsia" w:ascii="楷体" w:hAnsi="楷体" w:eastAsia="楷体"/>
              <w:szCs w:val="24"/>
            </w:rPr>
            <w:t>锌：锌价维持震荡，等待驱动影响</w:t>
          </w:r>
          <w:r>
            <w:rPr>
              <w:bCs/>
            </w:rPr>
            <w:fldChar w:fldCharType="end"/>
          </w:r>
        </w:p>
        <w:p>
          <w:pPr>
            <w:pStyle w:val="74"/>
            <w:tabs>
              <w:tab w:val="right" w:leader="dot" w:pos="8306"/>
            </w:tabs>
          </w:pPr>
          <w:r>
            <w:rPr>
              <w:bCs/>
            </w:rPr>
            <w:fldChar w:fldCharType="begin"/>
          </w:r>
          <w:r>
            <w:rPr>
              <w:bCs/>
            </w:rPr>
            <w:instrText xml:space="preserve"> HYPERLINK \l _Toc27003 </w:instrText>
          </w:r>
          <w:r>
            <w:rPr>
              <w:bCs/>
            </w:rPr>
            <w:fldChar w:fldCharType="separate"/>
          </w:r>
          <w:r>
            <w:rPr>
              <w:rFonts w:hint="eastAsia" w:ascii="楷体" w:hAnsi="楷体" w:eastAsia="楷体"/>
              <w:szCs w:val="24"/>
            </w:rPr>
            <w:t>镍：镍价反弹空间受限</w:t>
          </w:r>
          <w:r>
            <w:rPr>
              <w:bCs/>
            </w:rPr>
            <w:fldChar w:fldCharType="end"/>
          </w:r>
        </w:p>
        <w:p>
          <w:pPr>
            <w:pStyle w:val="74"/>
            <w:tabs>
              <w:tab w:val="right" w:leader="dot" w:pos="8306"/>
            </w:tabs>
          </w:pPr>
          <w:r>
            <w:rPr>
              <w:bCs/>
            </w:rPr>
            <w:fldChar w:fldCharType="begin"/>
          </w:r>
          <w:r>
            <w:rPr>
              <w:bCs/>
            </w:rPr>
            <w:instrText xml:space="preserve"> HYPERLINK \l _Toc19203 </w:instrText>
          </w:r>
          <w:r>
            <w:rPr>
              <w:bCs/>
            </w:rPr>
            <w:fldChar w:fldCharType="separate"/>
          </w:r>
          <w:r>
            <w:rPr>
              <w:rFonts w:hint="eastAsia" w:ascii="楷体" w:hAnsi="楷体" w:eastAsia="楷体"/>
              <w:szCs w:val="24"/>
            </w:rPr>
            <w:t>不锈钢：预计短期不锈钢价震荡偏强</w:t>
          </w:r>
          <w:r>
            <w:rPr>
              <w:bCs/>
            </w:rPr>
            <w:fldChar w:fldCharType="end"/>
          </w:r>
        </w:p>
        <w:p>
          <w:pPr>
            <w:pStyle w:val="74"/>
            <w:tabs>
              <w:tab w:val="right" w:leader="dot" w:pos="8306"/>
            </w:tabs>
          </w:pPr>
          <w:r>
            <w:rPr>
              <w:bCs/>
            </w:rPr>
            <w:fldChar w:fldCharType="begin"/>
          </w:r>
          <w:r>
            <w:rPr>
              <w:bCs/>
            </w:rPr>
            <w:instrText xml:space="preserve"> HYPERLINK \l _Toc2450 </w:instrText>
          </w:r>
          <w:r>
            <w:rPr>
              <w:bCs/>
            </w:rPr>
            <w:fldChar w:fldCharType="separate"/>
          </w:r>
          <w:r>
            <w:rPr>
              <w:rFonts w:hint="eastAsia" w:ascii="楷体" w:hAnsi="楷体" w:eastAsia="楷体"/>
              <w:szCs w:val="24"/>
            </w:rPr>
            <w:t>工业硅：现货市场偏弱，盘面或震荡为主</w:t>
          </w:r>
          <w:r>
            <w:rPr>
              <w:bCs/>
            </w:rPr>
            <w:fldChar w:fldCharType="end"/>
          </w:r>
        </w:p>
        <w:p>
          <w:pPr>
            <w:pStyle w:val="59"/>
            <w:tabs>
              <w:tab w:val="right" w:leader="dot" w:pos="8306"/>
            </w:tabs>
          </w:pPr>
          <w:r>
            <w:rPr>
              <w:bCs/>
            </w:rPr>
            <w:fldChar w:fldCharType="begin"/>
          </w:r>
          <w:r>
            <w:rPr>
              <w:bCs/>
            </w:rPr>
            <w:instrText xml:space="preserve"> HYPERLINK \l _Toc18146 </w:instrText>
          </w:r>
          <w:r>
            <w:rPr>
              <w:bCs/>
            </w:rPr>
            <w:fldChar w:fldCharType="separate"/>
          </w:r>
          <w:r>
            <w:rPr>
              <w:rFonts w:hint="eastAsia" w:ascii="Times New Roman" w:hAnsi="Times New Roman" w:eastAsia="楷体"/>
              <w:szCs w:val="30"/>
            </w:rPr>
            <w:t>[化工]</w:t>
          </w:r>
          <w:r>
            <w:rPr>
              <w:bCs/>
            </w:rPr>
            <w:fldChar w:fldCharType="end"/>
          </w:r>
        </w:p>
        <w:p>
          <w:pPr>
            <w:pStyle w:val="74"/>
            <w:tabs>
              <w:tab w:val="right" w:leader="dot" w:pos="8306"/>
            </w:tabs>
          </w:pPr>
          <w:r>
            <w:rPr>
              <w:bCs/>
            </w:rPr>
            <w:fldChar w:fldCharType="begin"/>
          </w:r>
          <w:r>
            <w:rPr>
              <w:bCs/>
            </w:rPr>
            <w:instrText xml:space="preserve"> HYPERLINK \l _Toc31911 </w:instrText>
          </w:r>
          <w:r>
            <w:rPr>
              <w:bCs/>
            </w:rPr>
            <w:fldChar w:fldCharType="separate"/>
          </w:r>
          <w:r>
            <w:rPr>
              <w:rFonts w:hint="eastAsia" w:ascii="Times New Roman" w:hAnsi="Times New Roman" w:eastAsia="楷体"/>
              <w:szCs w:val="24"/>
            </w:rPr>
            <w:t>天然橡胶:</w:t>
          </w:r>
          <w:r>
            <w:rPr>
              <w:rFonts w:hint="eastAsia" w:ascii="Times New Roman" w:hAnsi="Times New Roman" w:eastAsia="楷体"/>
              <w:szCs w:val="24"/>
              <w:lang w:val="en-US" w:eastAsia="zh-CN"/>
            </w:rPr>
            <w:t xml:space="preserve"> </w:t>
          </w:r>
          <w:r>
            <w:rPr>
              <w:rFonts w:hint="eastAsia" w:ascii="楷体" w:hAnsi="楷体" w:eastAsia="楷体"/>
              <w:szCs w:val="24"/>
            </w:rPr>
            <w:t>节后轮胎厂返工与高库存并存 胶价持续上行空间受压制</w:t>
          </w:r>
          <w:r>
            <w:rPr>
              <w:bCs/>
            </w:rPr>
            <w:fldChar w:fldCharType="end"/>
          </w:r>
        </w:p>
        <w:p>
          <w:pPr>
            <w:pStyle w:val="74"/>
            <w:tabs>
              <w:tab w:val="right" w:leader="dot" w:pos="8306"/>
            </w:tabs>
          </w:pPr>
          <w:r>
            <w:rPr>
              <w:bCs/>
            </w:rPr>
            <w:fldChar w:fldCharType="begin"/>
          </w:r>
          <w:r>
            <w:rPr>
              <w:bCs/>
            </w:rPr>
            <w:instrText xml:space="preserve"> HYPERLINK \l _Toc18475 </w:instrText>
          </w:r>
          <w:r>
            <w:rPr>
              <w:bCs/>
            </w:rPr>
            <w:fldChar w:fldCharType="separate"/>
          </w:r>
          <w:r>
            <w:rPr>
              <w:rFonts w:hint="eastAsia" w:ascii="楷体" w:hAnsi="楷体" w:eastAsia="楷体"/>
              <w:szCs w:val="24"/>
            </w:rPr>
            <w:t>聚烯烃：市场多空因素交织，L整体强于PP</w:t>
          </w:r>
          <w:r>
            <w:rPr>
              <w:bCs/>
            </w:rPr>
            <w:fldChar w:fldCharType="end"/>
          </w:r>
        </w:p>
        <w:p>
          <w:pPr>
            <w:pStyle w:val="74"/>
            <w:tabs>
              <w:tab w:val="right" w:leader="dot" w:pos="8306"/>
            </w:tabs>
          </w:pPr>
          <w:r>
            <w:rPr>
              <w:bCs/>
            </w:rPr>
            <w:fldChar w:fldCharType="begin"/>
          </w:r>
          <w:r>
            <w:rPr>
              <w:bCs/>
            </w:rPr>
            <w:instrText xml:space="preserve"> HYPERLINK \l _Toc15705 </w:instrText>
          </w:r>
          <w:r>
            <w:rPr>
              <w:bCs/>
            </w:rPr>
            <w:fldChar w:fldCharType="separate"/>
          </w:r>
          <w:r>
            <w:rPr>
              <w:rFonts w:hint="eastAsia" w:ascii="楷体" w:hAnsi="楷体" w:eastAsia="楷体"/>
              <w:szCs w:val="24"/>
            </w:rPr>
            <w:t>乙二醇：港口库存累积及下游补库不及预期  短线走弱</w:t>
          </w:r>
          <w:r>
            <w:rPr>
              <w:bCs/>
            </w:rPr>
            <w:fldChar w:fldCharType="end"/>
          </w:r>
        </w:p>
        <w:p>
          <w:pPr>
            <w:pStyle w:val="74"/>
            <w:tabs>
              <w:tab w:val="right" w:leader="dot" w:pos="8306"/>
            </w:tabs>
          </w:pPr>
          <w:r>
            <w:rPr>
              <w:bCs/>
            </w:rPr>
            <w:fldChar w:fldCharType="begin"/>
          </w:r>
          <w:r>
            <w:rPr>
              <w:bCs/>
            </w:rPr>
            <w:instrText xml:space="preserve"> HYPERLINK \l _Toc15374 </w:instrText>
          </w:r>
          <w:r>
            <w:rPr>
              <w:bCs/>
            </w:rPr>
            <w:fldChar w:fldCharType="separate"/>
          </w:r>
          <w:r>
            <w:rPr>
              <w:rFonts w:hint="eastAsia" w:ascii="楷体" w:hAnsi="楷体" w:eastAsia="楷体"/>
              <w:szCs w:val="24"/>
            </w:rPr>
            <w:t>PTA：成本端走强提振期价</w:t>
          </w:r>
          <w:r>
            <w:rPr>
              <w:bCs/>
            </w:rPr>
            <w:fldChar w:fldCharType="end"/>
          </w:r>
        </w:p>
        <w:p>
          <w:pPr>
            <w:pStyle w:val="74"/>
            <w:tabs>
              <w:tab w:val="right" w:leader="dot" w:pos="8306"/>
            </w:tabs>
          </w:pPr>
          <w:r>
            <w:rPr>
              <w:bCs/>
            </w:rPr>
            <w:fldChar w:fldCharType="begin"/>
          </w:r>
          <w:r>
            <w:rPr>
              <w:bCs/>
            </w:rPr>
            <w:instrText xml:space="preserve"> HYPERLINK \l _Toc13534 </w:instrText>
          </w:r>
          <w:r>
            <w:rPr>
              <w:bCs/>
            </w:rPr>
            <w:fldChar w:fldCharType="separate"/>
          </w:r>
          <w:r>
            <w:rPr>
              <w:rFonts w:hint="eastAsia" w:ascii="楷体" w:hAnsi="楷体" w:eastAsia="楷体"/>
              <w:szCs w:val="24"/>
            </w:rPr>
            <w:t>玻璃：上下游博弈，库存消化进度缓慢</w:t>
          </w:r>
          <w:r>
            <w:rPr>
              <w:bCs/>
            </w:rPr>
            <w:fldChar w:fldCharType="end"/>
          </w:r>
        </w:p>
        <w:p>
          <w:pPr>
            <w:pStyle w:val="74"/>
            <w:tabs>
              <w:tab w:val="right" w:leader="dot" w:pos="8306"/>
            </w:tabs>
          </w:pPr>
          <w:r>
            <w:rPr>
              <w:bCs/>
            </w:rPr>
            <w:fldChar w:fldCharType="begin"/>
          </w:r>
          <w:r>
            <w:rPr>
              <w:bCs/>
            </w:rPr>
            <w:instrText xml:space="preserve"> HYPERLINK \l _Toc31888 </w:instrText>
          </w:r>
          <w:r>
            <w:rPr>
              <w:bCs/>
            </w:rPr>
            <w:fldChar w:fldCharType="separate"/>
          </w:r>
          <w:r>
            <w:rPr>
              <w:rFonts w:hint="eastAsia" w:ascii="楷体" w:hAnsi="楷体" w:eastAsia="楷体"/>
              <w:szCs w:val="24"/>
            </w:rPr>
            <w:t>纯碱：供给压力仍在，期价延续弱势</w:t>
          </w:r>
          <w:r>
            <w:rPr>
              <w:bCs/>
            </w:rPr>
            <w:fldChar w:fldCharType="end"/>
          </w:r>
        </w:p>
        <w:p>
          <w:pPr>
            <w:pStyle w:val="59"/>
            <w:tabs>
              <w:tab w:val="right" w:leader="dot" w:pos="8306"/>
            </w:tabs>
          </w:pPr>
          <w:r>
            <w:rPr>
              <w:bCs/>
            </w:rPr>
            <w:fldChar w:fldCharType="begin"/>
          </w:r>
          <w:r>
            <w:rPr>
              <w:bCs/>
            </w:rPr>
            <w:instrText xml:space="preserve"> HYPERLINK \l _Toc7240 </w:instrText>
          </w:r>
          <w:r>
            <w:rPr>
              <w:bCs/>
            </w:rPr>
            <w:fldChar w:fldCharType="separate"/>
          </w:r>
          <w:r>
            <w:rPr>
              <w:rFonts w:hint="eastAsia" w:ascii="Times New Roman" w:hAnsi="Times New Roman" w:eastAsia="楷体"/>
              <w:szCs w:val="30"/>
            </w:rPr>
            <w:t>[农产品]</w:t>
          </w:r>
          <w:r>
            <w:rPr>
              <w:bCs/>
            </w:rPr>
            <w:fldChar w:fldCharType="end"/>
          </w:r>
        </w:p>
        <w:p>
          <w:pPr>
            <w:pStyle w:val="74"/>
            <w:tabs>
              <w:tab w:val="right" w:leader="dot" w:pos="8306"/>
            </w:tabs>
          </w:pPr>
          <w:r>
            <w:rPr>
              <w:bCs/>
            </w:rPr>
            <w:fldChar w:fldCharType="begin"/>
          </w:r>
          <w:r>
            <w:rPr>
              <w:bCs/>
            </w:rPr>
            <w:instrText xml:space="preserve"> HYPERLINK \l _Toc28974 </w:instrText>
          </w:r>
          <w:r>
            <w:rPr>
              <w:bCs/>
            </w:rPr>
            <w:fldChar w:fldCharType="separate"/>
          </w:r>
          <w:r>
            <w:rPr>
              <w:rFonts w:hint="eastAsia" w:ascii="楷体" w:hAnsi="楷体" w:eastAsia="楷体"/>
              <w:bCs/>
            </w:rPr>
            <w:t>玉米与淀粉：</w:t>
          </w:r>
          <w:r>
            <w:rPr>
              <w:rFonts w:hint="eastAsia" w:ascii="楷体" w:hAnsi="楷体" w:eastAsia="楷体"/>
            </w:rPr>
            <w:t>期价转为震荡运行</w:t>
          </w:r>
          <w:r>
            <w:rPr>
              <w:bCs/>
            </w:rPr>
            <w:fldChar w:fldCharType="end"/>
          </w:r>
        </w:p>
        <w:p>
          <w:pPr>
            <w:pStyle w:val="74"/>
            <w:tabs>
              <w:tab w:val="right" w:leader="dot" w:pos="8306"/>
            </w:tabs>
          </w:pPr>
          <w:r>
            <w:rPr>
              <w:bCs/>
            </w:rPr>
            <w:fldChar w:fldCharType="begin"/>
          </w:r>
          <w:r>
            <w:rPr>
              <w:bCs/>
            </w:rPr>
            <w:instrText xml:space="preserve"> HYPERLINK \l _Toc19714 </w:instrText>
          </w:r>
          <w:r>
            <w:rPr>
              <w:bCs/>
            </w:rPr>
            <w:fldChar w:fldCharType="separate"/>
          </w:r>
          <w:r>
            <w:rPr>
              <w:rFonts w:hint="eastAsia" w:ascii="楷体" w:hAnsi="楷体" w:eastAsia="楷体"/>
              <w:bCs/>
            </w:rPr>
            <w:t>畜禽养殖：生猪期价冲高回落</w:t>
          </w:r>
          <w:r>
            <w:rPr>
              <w:bCs/>
            </w:rPr>
            <w:fldChar w:fldCharType="end"/>
          </w:r>
        </w:p>
        <w:p>
          <w:pPr>
            <w:pStyle w:val="59"/>
            <w:tabs>
              <w:tab w:val="right" w:leader="dot" w:pos="8306"/>
            </w:tabs>
          </w:pPr>
          <w:r>
            <w:rPr>
              <w:bCs/>
            </w:rPr>
            <w:fldChar w:fldCharType="begin"/>
          </w:r>
          <w:r>
            <w:rPr>
              <w:bCs/>
            </w:rPr>
            <w:instrText xml:space="preserve"> HYPERLINK \l _Toc1507 </w:instrText>
          </w:r>
          <w:r>
            <w:rPr>
              <w:bCs/>
            </w:rPr>
            <w:fldChar w:fldCharType="separate"/>
          </w:r>
          <w:r>
            <w:rPr>
              <w:rFonts w:hint="eastAsia" w:ascii="Times New Roman" w:hAnsi="Times New Roman" w:eastAsia="楷体"/>
              <w:szCs w:val="30"/>
            </w:rPr>
            <w:t>[指数]</w:t>
          </w:r>
          <w:r>
            <w:rPr>
              <w:bCs/>
            </w:rPr>
            <w:fldChar w:fldCharType="end"/>
          </w:r>
        </w:p>
        <w:p>
          <w:pPr>
            <w:pStyle w:val="74"/>
            <w:tabs>
              <w:tab w:val="right" w:leader="dot" w:pos="8306"/>
            </w:tabs>
          </w:pPr>
          <w:r>
            <w:rPr>
              <w:bCs/>
            </w:rPr>
            <w:fldChar w:fldCharType="begin"/>
          </w:r>
          <w:r>
            <w:rPr>
              <w:bCs/>
            </w:rPr>
            <w:instrText xml:space="preserve"> HYPERLINK \l _Toc8791 </w:instrText>
          </w:r>
          <w:r>
            <w:rPr>
              <w:bCs/>
            </w:rPr>
            <w:fldChar w:fldCharType="separate"/>
          </w:r>
          <w:r>
            <w:rPr>
              <w:rFonts w:hint="eastAsia" w:ascii="Times New Roman" w:hAnsi="Times New Roman" w:eastAsia="楷体"/>
              <w:szCs w:val="24"/>
            </w:rPr>
            <w:t>集运指数（欧线）：博弈现货下跌速度，期价预计偏弱震荡</w:t>
          </w:r>
          <w:r>
            <w:rPr>
              <w:bCs/>
            </w:rPr>
            <w:fldChar w:fldCharType="end"/>
          </w:r>
        </w:p>
        <w:p>
          <w:pPr>
            <w:pStyle w:val="59"/>
            <w:tabs>
              <w:tab w:val="right" w:leader="dot" w:pos="8296"/>
            </w:tabs>
            <w:rPr>
              <w:rFonts w:eastAsiaTheme="minorEastAsia"/>
              <w:szCs w:val="22"/>
            </w:rPr>
          </w:pPr>
          <w:r>
            <w:rPr>
              <w:bCs/>
            </w:rPr>
            <w:fldChar w:fldCharType="end"/>
          </w:r>
        </w:p>
      </w:sdtContent>
    </w:sdt>
    <w:p>
      <w:pPr>
        <w:jc w:val="center"/>
        <w:rPr>
          <w:rFonts w:ascii="Times New Roman" w:hAnsi="Times New Roman" w:eastAsia="楷体" w:cs="Times New Roman"/>
          <w:color w:val="823C0B"/>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color w:val="823C0B"/>
        </w:rPr>
        <w:t>本文观点、结论和建议等仅供参考，并不构成操作依据！请阅读文末免责声明。</w:t>
      </w:r>
    </w:p>
    <w:p>
      <w:pPr>
        <w:rPr>
          <w:rFonts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1" w:name="_Toc18033"/>
      <w:bookmarkStart w:id="2" w:name="_Toc19317"/>
      <w:bookmarkStart w:id="3" w:name="_Toc15920"/>
      <w:bookmarkStart w:id="4" w:name="金融"/>
      <w:r>
        <w:rPr>
          <w:rFonts w:hint="eastAsia" w:ascii="Times New Roman" w:hAnsi="Times New Roman" w:eastAsia="楷体"/>
          <w:b/>
          <w:color w:val="823C0B"/>
          <w:sz w:val="30"/>
          <w:szCs w:val="30"/>
        </w:rPr>
        <w:t>[金融]</w:t>
      </w:r>
      <w:bookmarkEnd w:id="1"/>
      <w:bookmarkEnd w:id="2"/>
      <w:bookmarkEnd w:id="3"/>
    </w:p>
    <w:bookmarkEnd w:id="4"/>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5" w:name="_Toc16295"/>
      <w:bookmarkStart w:id="6" w:name="_Toc965"/>
      <w:bookmarkStart w:id="7" w:name="_Toc27014"/>
      <w:r>
        <w:rPr>
          <w:rFonts w:hint="eastAsia" w:ascii="Times New Roman" w:hAnsi="Times New Roman" w:eastAsia="楷体"/>
          <w:b/>
          <w:color w:val="000000" w:themeColor="text1"/>
          <w:sz w:val="24"/>
          <w:szCs w:val="24"/>
          <w14:textFill>
            <w14:solidFill>
              <w14:schemeClr w14:val="tx1"/>
            </w14:solidFill>
          </w14:textFill>
        </w:rPr>
        <w:t>股指：</w:t>
      </w:r>
      <w:bookmarkEnd w:id="5"/>
      <w:bookmarkEnd w:id="6"/>
      <w:r>
        <w:rPr>
          <w:rFonts w:hint="eastAsia" w:ascii="Times New Roman" w:hAnsi="Times New Roman" w:eastAsia="楷体"/>
          <w:b/>
          <w:color w:val="000000" w:themeColor="text1"/>
          <w:sz w:val="24"/>
          <w:szCs w:val="24"/>
          <w14:textFill>
            <w14:solidFill>
              <w14:schemeClr w14:val="tx1"/>
            </w14:solidFill>
          </w14:textFill>
        </w:rPr>
        <w:t>调整后低多</w:t>
      </w:r>
      <w:bookmarkEnd w:id="7"/>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短线，指数经连续强势反弹后到达压力位，市场出现放量的大阴线反包上一日阳线，可能诱发获利盘的集体出逃，存在适度回踩可能。但流动性改善下，市场信心不断增强，或较难再现大幅的持续下挫现象，大盘蓝筹股的估值已接近历史低位，跌幅相对平缓，且大、中小盘股的风格分化正在缓解，预计将更趋于平衡。重要会议前后，市场震荡反复的格局仍然存在，考虑市场恢复至常态化的震荡渐进修复和存量博弈的特征，可积极把握市场调整优化后的入市机会。</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rPr>
      </w:pPr>
      <w:bookmarkStart w:id="8" w:name="_Toc5230"/>
      <w:r>
        <w:rPr>
          <w:rFonts w:hint="eastAsia" w:ascii="Times New Roman" w:hAnsi="Times New Roman" w:eastAsia="楷体"/>
          <w:b/>
          <w:color w:val="823C0B"/>
          <w:sz w:val="30"/>
          <w:szCs w:val="30"/>
        </w:rPr>
        <w:t>[贵金属]</w:t>
      </w:r>
      <w:bookmarkEnd w:id="8"/>
    </w:p>
    <w:p>
      <w:pPr>
        <w:ind w:left="420" w:leftChars="200"/>
        <w:outlineLvl w:val="1"/>
        <w:rPr>
          <w:rFonts w:hint="eastAsia" w:ascii="Times New Roman" w:hAnsi="Times New Roman" w:eastAsia="楷体"/>
          <w:b/>
          <w:color w:val="000000" w:themeColor="text1"/>
          <w:sz w:val="24"/>
          <w:szCs w:val="24"/>
          <w14:textFill>
            <w14:solidFill>
              <w14:schemeClr w14:val="tx1"/>
            </w14:solidFill>
          </w14:textFill>
        </w:rPr>
      </w:pPr>
      <w:bookmarkStart w:id="9" w:name="_Toc32295"/>
      <w:r>
        <w:rPr>
          <w:rFonts w:hint="eastAsia" w:ascii="Times New Roman" w:hAnsi="Times New Roman" w:eastAsia="楷体"/>
          <w:b/>
          <w:color w:val="000000" w:themeColor="text1"/>
          <w:sz w:val="24"/>
          <w:szCs w:val="24"/>
          <w14:textFill>
            <w14:solidFill>
              <w14:schemeClr w14:val="tx1"/>
            </w14:solidFill>
          </w14:textFill>
        </w:rPr>
        <w:t>贵金属：美国四季度GDP增速略低于预期，贵金属价格窄幅震荡</w:t>
      </w:r>
      <w:bookmarkEnd w:id="9"/>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美元指数持平于103.93，10年期美债收益率涨2bp至4.272%。沪金微涨0.02%，沪银跌0.15%。CME黄金波动率低位运行，暂报10.39。美国2023年四季度实际GDP年化环比下修至3.2%，预期为持平于3.3%。核心PCE物价指数环比上修至2.1%，预期为2%。个人消费支出环比上修至3%，高于预期的2.7%。美联储柯林斯表示，基准情景是美联储将于今年降息；现在就说美联储是否可能在5月份降息为时尚早；联储不应对通胀的一个数据点做过度反应。 美联储威廉姆斯表示，降息将取决于通胀朝着2%回落的信心；今年稍晚可以考虑降息；强劲的经济使美联储有时间分析数据。今日晚间美国将公布1月PCE通胀数据，海外降息预期后置，贵金属价格或维持区间震荡，建议短线暂以观望为主。中长期角度而言，地缘政治及宏观层面仍存不确定性因素，此背景下贵金属或仍凸显其作为传统避险资产的配置价值。</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sz w:val="30"/>
          <w:szCs w:val="30"/>
        </w:rPr>
      </w:pPr>
      <w:bookmarkStart w:id="10" w:name="_Toc20891"/>
      <w:bookmarkStart w:id="11" w:name="金属"/>
      <w:bookmarkStart w:id="12" w:name="_Toc3096"/>
      <w:bookmarkStart w:id="13" w:name="_Toc28187"/>
      <w:bookmarkStart w:id="14" w:name="农产品"/>
      <w:r>
        <w:rPr>
          <w:rFonts w:hint="eastAsia" w:ascii="Times New Roman" w:hAnsi="Times New Roman" w:eastAsia="楷体"/>
          <w:b/>
          <w:color w:val="823C0B"/>
          <w:sz w:val="30"/>
          <w:szCs w:val="30"/>
        </w:rPr>
        <w:t>[金属]</w:t>
      </w:r>
      <w:bookmarkEnd w:id="10"/>
      <w:bookmarkEnd w:id="11"/>
      <w:bookmarkEnd w:id="12"/>
      <w:bookmarkEnd w:id="13"/>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15" w:name="_Toc4499"/>
      <w:bookmarkStart w:id="16" w:name="_Toc5371"/>
      <w:bookmarkStart w:id="17" w:name="_Toc27831"/>
      <w:r>
        <w:rPr>
          <w:rFonts w:hint="eastAsia" w:ascii="楷体" w:hAnsi="楷体" w:eastAsia="楷体"/>
          <w:b/>
          <w:color w:val="000000" w:themeColor="text1"/>
          <w:sz w:val="24"/>
          <w:szCs w:val="24"/>
          <w14:textFill>
            <w14:solidFill>
              <w14:schemeClr w14:val="tx1"/>
            </w14:solidFill>
          </w14:textFill>
        </w:rPr>
        <w:t>碳酸锂：消息面因素引导市场情绪，期价延续涨势</w:t>
      </w:r>
      <w:bookmarkEnd w:id="1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受盘面支撑，锂盐企业挺价情绪升温，现货价格小幅回升。前期围绕环保、澳矿减产及下调精矿销量指引等消息面因素持续引导市场情绪，碳酸锂期价盘中大幅上涨，07合约一度触及112250元/吨的两个月以来新高，午后回吐部分涨幅，收涨3.45%至108000元/吨。近期环保相关消息频发，据第一财经报道，近期有关部门督导调研青海部分化工企业，加快推进晾晒池盐泥、废水处理等问题整改，但不涉及盐湖提锂企业；中央环保督察组或将于三月进驻江西，省内各地正在展开环境整治全面排查。下游原料库存仍相对充足，关注后续下游补库需求，以及江西环保督察推进情况，留意上方12月初前高压力位，消息面因素影响下期价短期内或偏强运行。</w:t>
      </w:r>
    </w:p>
    <w:bookmarkEnd w:id="16"/>
    <w:bookmarkEnd w:id="17"/>
    <w:p>
      <w:pPr>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8" w:name="_Toc9719"/>
      <w:bookmarkStart w:id="19" w:name="_Toc25617"/>
      <w:bookmarkStart w:id="20" w:name="_Toc7458"/>
      <w:r>
        <w:rPr>
          <w:rFonts w:hint="eastAsia" w:ascii="楷体" w:hAnsi="楷体" w:eastAsia="楷体"/>
          <w:b/>
          <w:color w:val="000000" w:themeColor="text1"/>
          <w:sz w:val="24"/>
          <w:szCs w:val="24"/>
          <w14:textFill>
            <w14:solidFill>
              <w14:schemeClr w14:val="tx1"/>
            </w14:solidFill>
          </w14:textFill>
        </w:rPr>
        <w:t>铜：</w:t>
      </w:r>
      <w:bookmarkEnd w:id="18"/>
      <w:bookmarkEnd w:id="19"/>
      <w:r>
        <w:rPr>
          <w:rFonts w:hint="eastAsia" w:ascii="楷体" w:hAnsi="楷体" w:eastAsia="楷体"/>
          <w:b/>
          <w:color w:val="000000" w:themeColor="text1"/>
          <w:sz w:val="24"/>
          <w:szCs w:val="24"/>
          <w14:textFill>
            <w14:solidFill>
              <w14:schemeClr w14:val="tx1"/>
            </w14:solidFill>
          </w14:textFill>
        </w:rPr>
        <w:t>短期维持偏弱震荡，关注美国1月核心PCE数据</w:t>
      </w:r>
      <w:bookmarkEnd w:id="20"/>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(1)库存：2月28日，SHFE仓单库存130565吨，增6173吨；LME仓单库存124825吨，减1700吨。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(2)精废价差：2月28日，Mysteel精废价差1486，扩张40。目前价差在合理价差1387之上。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宏观面，海外短期变化不大，仍需等待3月中旬左右美国通胀数据。国内市场两会临近，政策预期变化仍可能对情绪形成干扰。基本面，铜精矿TC有企稳迹象，然而矿山生产扰动仍在出现，建议持续关注冶炼端产出情况。当前国内库存持续累增，幅度有些超预期，但需求在逐步验证中，短期价格偏弱震荡，空间或不大，参考区间68000-69500。关注今晚公布的美国1月核心PCE数据。</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1" w:name="_Toc8897"/>
      <w:bookmarkStart w:id="22" w:name="_Toc6247"/>
      <w:bookmarkStart w:id="23" w:name="_Toc26817"/>
      <w:r>
        <w:rPr>
          <w:rFonts w:hint="eastAsia" w:ascii="楷体" w:hAnsi="楷体" w:eastAsia="楷体"/>
          <w:b/>
          <w:color w:val="000000" w:themeColor="text1"/>
          <w:sz w:val="24"/>
          <w:szCs w:val="24"/>
          <w14:textFill>
            <w14:solidFill>
              <w14:schemeClr w14:val="tx1"/>
            </w14:solidFill>
          </w14:textFill>
        </w:rPr>
        <w:t>铝：</w:t>
      </w:r>
      <w:bookmarkEnd w:id="21"/>
      <w:bookmarkEnd w:id="22"/>
      <w:r>
        <w:rPr>
          <w:rFonts w:hint="eastAsia" w:ascii="楷体" w:hAnsi="楷体" w:eastAsia="楷体"/>
          <w:b/>
          <w:color w:val="000000" w:themeColor="text1"/>
          <w:sz w:val="24"/>
          <w:szCs w:val="24"/>
          <w14:textFill>
            <w14:solidFill>
              <w14:schemeClr w14:val="tx1"/>
            </w14:solidFill>
          </w14:textFill>
        </w:rPr>
        <w:t>铝价窄幅震荡为主</w:t>
      </w:r>
      <w:bookmarkEnd w:id="23"/>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情绪内外博弈，两会之前市场情绪波动较小，观望为主。基本面来看，上游有铝土矿走紧支撑氧化铝成本价格，中游冶炼保持生产，关注云南汛期到来对冶炼端影响，需求节后边际修复但幅度有限，旺季来临市场有消费改善预期，目前铝价维持窄幅震荡，震荡区间18600-19300。</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4" w:name="_Toc2670"/>
      <w:r>
        <w:rPr>
          <w:rFonts w:hint="eastAsia" w:ascii="楷体" w:hAnsi="楷体" w:eastAsia="楷体"/>
          <w:b/>
          <w:color w:val="000000" w:themeColor="text1"/>
          <w:sz w:val="24"/>
          <w:szCs w:val="24"/>
          <w14:textFill>
            <w14:solidFill>
              <w14:schemeClr w14:val="tx1"/>
            </w14:solidFill>
          </w14:textFill>
        </w:rPr>
        <w:t>锌：锌价维持震荡，等待驱动影响</w:t>
      </w:r>
      <w:bookmarkEnd w:id="24"/>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方面关注美国降息及两会后情绪变化，基本面维持供应偏多需求边际弱修复态势，前期锌价下跌幅度较大出现反弹修复，主因下方价格有锌矿成本及冶炼利润负反馈支撑，下游逢低补库，而价格上方也有供过于求的现实压制，价格区间震荡运行，等待驱动。</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5" w:name="_Toc27003"/>
      <w:r>
        <w:rPr>
          <w:rFonts w:hint="eastAsia" w:ascii="楷体" w:hAnsi="楷体" w:eastAsia="楷体"/>
          <w:b/>
          <w:color w:val="000000" w:themeColor="text1"/>
          <w:sz w:val="24"/>
          <w:szCs w:val="24"/>
          <w14:textFill>
            <w14:solidFill>
              <w14:schemeClr w14:val="tx1"/>
            </w14:solidFill>
          </w14:textFill>
        </w:rPr>
        <w:t>镍：镍价反弹空间受限</w:t>
      </w:r>
      <w:bookmarkEnd w:id="2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消息扰动方面，美对俄制裁对俄镍影响未造成实际影响；截至2月26日，印尼镍矿RKAB已批准1.45亿吨镍矿的采矿配额(3年期总量)，2024年审批进度约28%左右，审批进度稍有进展但整体仍然缓慢，市场继续交易镍矿供应担忧情绪。原料方面，近期镍铁价格受印尼镍矿RKAB事件影响价格偏强运行，硫酸镍由于供需维持紧张局面，价格呈现上涨态势。供需方面，镍仍处于供应过剩格局，全球镍社会库存维持趋势性累库。综合而言，虽然印尼镍矿RKAB进度对镍价扰动仍存，成本支撑走强，但镍供应过剩格局带来供持续性压制，镍价反弹空间受限，关注13.6万压力位。</w:t>
      </w:r>
    </w:p>
    <w:p>
      <w:pPr>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6" w:name="_Toc19203"/>
      <w:r>
        <w:rPr>
          <w:rFonts w:hint="eastAsia" w:ascii="楷体" w:hAnsi="楷体" w:eastAsia="楷体"/>
          <w:b/>
          <w:color w:val="000000" w:themeColor="text1"/>
          <w:sz w:val="24"/>
          <w:szCs w:val="24"/>
          <w14:textFill>
            <w14:solidFill>
              <w14:schemeClr w14:val="tx1"/>
            </w14:solidFill>
          </w14:textFill>
        </w:rPr>
        <w:t>不锈钢：预计短期不锈钢价震荡偏强</w:t>
      </w:r>
      <w:bookmarkEnd w:id="26"/>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消息扰动方面，截至2月26日，印尼镍矿RKAB已批准1.45亿吨镍矿的采矿配额(3年期总量)，2024年审批进度约28%左右，审批进度稍有进展但整体仍然缓慢，市场继续交易镍矿供应担忧情绪。供需方面，下游基本全面复工，目前成交氛围未有明显好转，两会在即，市场对国内宏观利好政策推动下的不锈钢后市需求持有一定乐观情绪。库存方面，上周社会库存小幅去库，据Mysteel数据，2月22日全国主流市场不锈钢社会库存116.41万吨，周环比减0.31%。综合而言，在印尼镍矿RKAB审批仍然缓慢，原料价格偏强运行，市场存在需求向好预期，社库未出现累库这些因素下，预计短期不锈钢价格偏强震荡，重点关注需求兑现情况及印尼镍矿RKAB审批进展。</w:t>
      </w:r>
    </w:p>
    <w:p>
      <w:pPr>
        <w:rPr>
          <w:rFonts w:ascii="楷体" w:hAnsi="楷体" w:eastAsia="楷体"/>
          <w:bCs/>
          <w:sz w:val="24"/>
          <w:szCs w:val="24"/>
        </w:rPr>
      </w:pPr>
    </w:p>
    <w:p>
      <w:pPr>
        <w:ind w:left="420" w:leftChars="200"/>
        <w:outlineLvl w:val="1"/>
        <w:rPr>
          <w:rFonts w:ascii="楷体" w:hAnsi="楷体" w:eastAsia="楷体"/>
          <w:b/>
          <w:sz w:val="24"/>
          <w:szCs w:val="24"/>
        </w:rPr>
      </w:pPr>
      <w:bookmarkStart w:id="27" w:name="_Toc2450"/>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现货市场偏弱，盘面或震荡为主</w:t>
      </w:r>
      <w:bookmarkEnd w:id="27"/>
    </w:p>
    <w:p>
      <w:pPr>
        <w:ind w:left="630" w:leftChars="300"/>
        <w:rPr>
          <w:rFonts w:ascii="楷体" w:hAnsi="楷体" w:eastAsia="楷体"/>
          <w:sz w:val="24"/>
          <w:szCs w:val="24"/>
        </w:rPr>
      </w:pPr>
      <w:r>
        <w:rPr>
          <w:rFonts w:hint="eastAsia" w:ascii="楷体" w:hAnsi="楷体" w:eastAsia="楷体"/>
          <w:sz w:val="24"/>
          <w:szCs w:val="24"/>
        </w:rPr>
        <w:t>2月28日，Si2404主力合约呈下行走势，收盘价13275元/吨，较上一收盘价涨跌幅-0.71%。节后下游以询单了解市场为主，仅少部分刚需采购订单释放，现货实际成交较节前小幅下跌，昨日新疆大厂报价也同步下调报价。整体来看，下游补库暂未恢复，库存偏高情况下对盘面存在压力，但下游企业正逐步恢复生产，节后补库有望逐步恢复，短期盘面或将维持震荡运行。策略上，建议可尝试波段操作，参考区间（13100，13700）。</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28" w:name="化工"/>
      <w:r>
        <w:rPr>
          <w:rFonts w:hint="eastAsia" w:ascii="Times New Roman" w:hAnsi="Times New Roman" w:eastAsia="楷体"/>
          <w:b/>
          <w:color w:val="823C0B"/>
          <w:sz w:val="30"/>
          <w:szCs w:val="30"/>
        </w:rPr>
        <w:t xml:space="preserve"> </w:t>
      </w:r>
      <w:bookmarkStart w:id="29" w:name="_Toc18146"/>
      <w:r>
        <w:rPr>
          <w:rFonts w:hint="eastAsia" w:ascii="Times New Roman" w:hAnsi="Times New Roman" w:eastAsia="楷体"/>
          <w:b/>
          <w:color w:val="823C0B"/>
          <w:sz w:val="30"/>
          <w:szCs w:val="30"/>
        </w:rPr>
        <w:t>[化工]</w:t>
      </w:r>
      <w:bookmarkEnd w:id="28"/>
      <w:bookmarkEnd w:id="29"/>
    </w:p>
    <w:p>
      <w:pPr>
        <w:ind w:firstLine="482" w:firstLineChars="200"/>
        <w:outlineLvl w:val="1"/>
        <w:rPr>
          <w:rFonts w:ascii="楷体" w:hAnsi="楷体" w:eastAsia="楷体"/>
          <w:b/>
          <w:sz w:val="24"/>
          <w:szCs w:val="24"/>
        </w:rPr>
      </w:pPr>
      <w:bookmarkStart w:id="30" w:name="_Toc31911"/>
      <w:r>
        <w:rPr>
          <w:rFonts w:hint="eastAsia" w:ascii="Times New Roman" w:hAnsi="Times New Roman" w:eastAsia="楷体"/>
          <w:b/>
          <w:color w:val="000000" w:themeColor="text1"/>
          <w:sz w:val="24"/>
          <w:szCs w:val="24"/>
          <w14:textFill>
            <w14:solidFill>
              <w14:schemeClr w14:val="tx1"/>
            </w14:solidFill>
          </w14:textFill>
        </w:rPr>
        <w:t>天然橡胶:</w:t>
      </w:r>
      <w:r>
        <w:rPr>
          <w:rFonts w:hint="eastAsia" w:ascii="Times New Roman" w:hAnsi="Times New Roman" w:eastAsia="楷体"/>
          <w:b/>
          <w:color w:val="000000" w:themeColor="text1"/>
          <w:sz w:val="24"/>
          <w:szCs w:val="24"/>
          <w:lang w:val="en-US" w:eastAsia="zh-CN"/>
          <w14:textFill>
            <w14:solidFill>
              <w14:schemeClr w14:val="tx1"/>
            </w14:solidFill>
          </w14:textFill>
        </w:rPr>
        <w:t xml:space="preserve"> </w:t>
      </w:r>
      <w:r>
        <w:rPr>
          <w:rFonts w:hint="eastAsia" w:ascii="楷体" w:hAnsi="楷体" w:eastAsia="楷体"/>
          <w:b/>
          <w:sz w:val="24"/>
          <w:szCs w:val="24"/>
        </w:rPr>
        <w:t>节后轮胎厂返工与高库存并存 胶价持续上行空间受压制</w:t>
      </w:r>
      <w:bookmarkEnd w:id="30"/>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点评：供应方面，泰国供应处于季节性收缩时期，原料价格易涨难跌，标胶到港量下降预期偏强。库存方面，国内社会库存回升，青岛深色胶即将呈现累库拐点，浅色库存同比去年上升。需求端来看，节后返工叠加国内需求的全面复苏，下游工厂陆续复工复产，开工率将恢复性提升。整体看，春节后随着复工复产，天然橡胶需求端提振预期偏强，天胶库存或处于去库周期，但偏高的库存依旧制约盘面上行幅度。</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1" w:name="_Toc18475"/>
      <w:r>
        <w:rPr>
          <w:rFonts w:hint="eastAsia" w:ascii="楷体" w:hAnsi="楷体" w:eastAsia="楷体"/>
          <w:b/>
          <w:color w:val="000000" w:themeColor="text1"/>
          <w:sz w:val="24"/>
          <w:szCs w:val="24"/>
          <w14:textFill>
            <w14:solidFill>
              <w14:schemeClr w14:val="tx1"/>
            </w14:solidFill>
          </w14:textFill>
        </w:rPr>
        <w:t>聚烯烃：市场多空因素交织，L整体强于PP</w:t>
      </w:r>
      <w:bookmarkEnd w:id="31"/>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目前聚烯烃上游石化库存为99万吨，较春节前累库41.5万吨，与去年同期相比增幅较大，库存压力较大。聚烯烃自身开工负荷变动不大，但下游进入集中停工期，春节期间开工率大幅走低，需求降至年内冰点。进口方面，LL进口窗口打开，PP进口窗口关闭。聚烯烃基本面变动不大，建议逢低多L，逢高空PP性价比更高。</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2" w:name="_Toc15705"/>
      <w:r>
        <w:rPr>
          <w:rFonts w:hint="eastAsia" w:ascii="楷体" w:hAnsi="楷体" w:eastAsia="楷体"/>
          <w:b/>
          <w:color w:val="000000" w:themeColor="text1"/>
          <w:sz w:val="24"/>
          <w:szCs w:val="24"/>
          <w14:textFill>
            <w14:solidFill>
              <w14:schemeClr w14:val="tx1"/>
            </w14:solidFill>
          </w14:textFill>
        </w:rPr>
        <w:t>乙二醇：港口库存累积及下游补库不及预期  短线走弱</w:t>
      </w:r>
      <w:bookmarkEnd w:id="32"/>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供需情况，2.26华东主港地区MEG港口库存约83.7万吨附近，环比上期增加3.7万吨。截至2月22日，中国大陆地区乙二醇整体开工负荷在70%（+1.81%），浙石化1# 75万吨装置4月份计划停车检修30-40天。其中草酸催化加氢法（合成气）制乙二醇开工负荷在60.9%（+1.76%）。陕西榆林化学120万吨装置，其中一条线2月中旬起停车至3月中旬；另外一条线3月初起停车至3月底。截至2月23日，国内大陆地区聚酯负荷在83.6%（+1.6%），后续负荷将陆续提升。终端来看，江浙终端各地恢复速度分化，预期节后开机提升会有所加速。截止2.22 江浙下游加弹、织造、印染负荷分别在31%（+17%）、34%（+13%）、29%(+23%)。综合来看，期价大幅走高带动乙二醇利润快速修复，国内不少乙烯制乙二醇装置供应回归。但煤化工春季3-4月份的合成气制乙二醇装置检修量远超预期。短线受库存累积及下游开工提升缓慢走势偏弱，仅供参考。</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3" w:name="_Toc15374"/>
      <w:r>
        <w:rPr>
          <w:rFonts w:hint="eastAsia" w:ascii="楷体" w:hAnsi="楷体" w:eastAsia="楷体"/>
          <w:b/>
          <w:color w:val="000000" w:themeColor="text1"/>
          <w:sz w:val="24"/>
          <w:szCs w:val="24"/>
          <w14:textFill>
            <w14:solidFill>
              <w14:schemeClr w14:val="tx1"/>
            </w14:solidFill>
          </w14:textFill>
        </w:rPr>
        <w:t>PTA：成本端走强提振期价</w:t>
      </w:r>
      <w:bookmarkEnd w:id="33"/>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成本端原油，地缘风险对原油盘面的溢价支撑将较长期持续及OPEC+可能会进一步延长减产期限，盘面重新回到区间高位震荡。PTA方面，本周PTA装置暂未明显变化，个别装置负荷小幅提升，目前PTA装置负荷调整至82%。聚酯检修装置陆续开启，聚酯负荷相应有所提升，不过不少装置尚未完全开满，后续将进一步跟进。根据初步测算，截至2.22，国内大陆地区聚酯负荷升至83.2%（+3.1%）。随着市场进一步恢复，下游终端开机预计会继续提升，市场对下游开工偏乐观，预期聚酯工厂仍有备货需求。后续来看，近期PTA加工费小幅压缩，留意PTA部分装置公布后期检修计划执行情况。节后聚酯工厂库存较节前明显抬升，下游产销持续低迷的情况下，聚酯工厂面临库存压力相对较大。PTA短期面临成本支撑提振趋势偏强。仅供参考。</w:t>
      </w:r>
    </w:p>
    <w:p>
      <w:pPr>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34" w:name="_Toc13534"/>
      <w:r>
        <w:rPr>
          <w:rFonts w:hint="eastAsia" w:ascii="楷体" w:hAnsi="楷体" w:eastAsia="楷体"/>
          <w:b/>
          <w:color w:val="000000" w:themeColor="text1"/>
          <w:sz w:val="24"/>
          <w:szCs w:val="24"/>
          <w14:textFill>
            <w14:solidFill>
              <w14:schemeClr w14:val="tx1"/>
            </w14:solidFill>
          </w14:textFill>
        </w:rPr>
        <w:t>玻璃：上下游博弈，库存消化进度缓慢</w:t>
      </w:r>
      <w:bookmarkEnd w:id="34"/>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隆众资讯2月28日报道：今日浮法玻璃现货价格2034元/吨，较上一交易日持平，沙河和湖北小幅降价促销，南方小幅提涨。供给上，全国浮法玻璃日产量为17.23万吨，复产产线尚在提量当中。库存上，截止到20240222，全国浮法玻璃样本企业总库存5425.5万重箱，环比+211.5万重箱，环比+4.06%，本周产销恢复较慢，预计延续累库。从供需来看，供给端日熔量仍处于近三年高位，后市在利润较好的情况下，还有复产产线点火，前期已复产产线尚在提量当中。需求端下游元宵节后开始动工，日度产销在回升当中，但恢复较慢，上游沙河湖北主产区原片厂和中游贸易商库存持续积累，有待消化，下游有补库需求，但在贸易商和原片厂家价格倒挂的情况下，期望上游进一步降价，采购谨慎。盘面日内跌破144日均线支撑，期价下跌情绪带动现货走弱，负反馈格局延续，后市继续观察下游补库情况，短期建议观望。</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lang w:val="en-US" w:eastAsia="zh-CN"/>
          <w14:textFill>
            <w14:solidFill>
              <w14:schemeClr w14:val="tx1"/>
            </w14:solidFill>
          </w14:textFill>
        </w:rPr>
      </w:pPr>
      <w:bookmarkStart w:id="35" w:name="_Toc31888"/>
      <w:r>
        <w:rPr>
          <w:rFonts w:hint="eastAsia" w:ascii="楷体" w:hAnsi="楷体" w:eastAsia="楷体"/>
          <w:b/>
          <w:color w:val="000000" w:themeColor="text1"/>
          <w:sz w:val="24"/>
          <w:szCs w:val="24"/>
          <w14:textFill>
            <w14:solidFill>
              <w14:schemeClr w14:val="tx1"/>
            </w14:solidFill>
          </w14:textFill>
        </w:rPr>
        <w:t>纯碱：供给压力仍在，期价延续弱势</w:t>
      </w:r>
      <w:bookmarkEnd w:id="35"/>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周内纯碱现货端价格阴跌，河北、河南等地重碱价格在2000元/吨附近成交较多，现货价格重心继续下移。从供给端来看，随着远兴4线的投料，以及各区域复工检修较少，截止到2024年2月22日，周内纯碱产量71.83万吨，环比增加1.27万吨，涨幅1.79%，处于历史高位，本周产量维持高位。从库存上看，上周国内纯碱厂家总库存74.85万吨，环比增加6.02万吨，增幅8.75%，下游重碱有进口补充，需求增量主要看轻碱下游，但高供给情况下，轻碱下游对高价碱抵触心理较，采购谨慎，预计本周延续大幅累库。从盘面来看，近月主力合约随着现货下跌，期货贴水状态逐步收敛，期现持续负反馈，远月由于有检修期价格相对坚挺，短期来看期价延续弱势，等待库存消化。操作上，可关注5-9反套。</w:t>
      </w:r>
    </w:p>
    <w:p>
      <w:pPr>
        <w:ind w:firstLine="480" w:firstLineChars="200"/>
        <w:rPr>
          <w:rFonts w:ascii="楷体" w:hAnsi="楷体" w:eastAsia="楷体"/>
          <w:bCs/>
          <w:sz w:val="24"/>
          <w:szCs w:val="24"/>
        </w:rPr>
      </w:pPr>
    </w:p>
    <w:p>
      <w:pPr>
        <w:ind w:firstLine="420" w:firstLineChars="200"/>
        <w:rPr>
          <w:rFonts w:ascii="Times New Roman" w:hAnsi="Times New Roman" w:eastAsia="楷体"/>
          <w:bCs/>
        </w:rPr>
      </w:pPr>
    </w:p>
    <w:p>
      <w:pPr>
        <w:pBdr>
          <w:top w:val="single" w:color="auto" w:sz="4" w:space="1"/>
        </w:pBdr>
        <w:outlineLvl w:val="0"/>
        <w:rPr>
          <w:rFonts w:ascii="楷体" w:hAnsi="楷体" w:eastAsia="楷体"/>
          <w:bCs/>
          <w:sz w:val="24"/>
          <w:szCs w:val="24"/>
        </w:rPr>
      </w:pPr>
      <w:r>
        <w:rPr>
          <w:rFonts w:hint="eastAsia" w:ascii="Times New Roman" w:hAnsi="Times New Roman" w:eastAsia="楷体"/>
          <w:b/>
          <w:color w:val="823C0B"/>
          <w:sz w:val="30"/>
          <w:szCs w:val="30"/>
        </w:rPr>
        <w:t xml:space="preserve"> </w:t>
      </w:r>
      <w:bookmarkStart w:id="36" w:name="_Toc7240"/>
      <w:r>
        <w:rPr>
          <w:rFonts w:hint="eastAsia" w:ascii="Times New Roman" w:hAnsi="Times New Roman" w:eastAsia="楷体"/>
          <w:b/>
          <w:color w:val="823C0B"/>
          <w:sz w:val="30"/>
          <w:szCs w:val="30"/>
        </w:rPr>
        <w:t>[农产品]</w:t>
      </w:r>
      <w:bookmarkEnd w:id="14"/>
      <w:bookmarkEnd w:id="36"/>
    </w:p>
    <w:p>
      <w:pPr>
        <w:pStyle w:val="93"/>
        <w:spacing w:before="60" w:beforeAutospacing="0" w:after="60" w:afterAutospacing="0"/>
        <w:ind w:left="420" w:leftChars="200"/>
        <w:outlineLvl w:val="1"/>
        <w:rPr>
          <w:rFonts w:ascii="楷体" w:hAnsi="楷体" w:eastAsia="楷体"/>
          <w:b/>
        </w:rPr>
      </w:pPr>
      <w:bookmarkStart w:id="37" w:name="_Toc28974"/>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期价转为震荡运行</w:t>
      </w:r>
      <w:bookmarkEnd w:id="37"/>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玉米而言，节后深加工玉米原料库存大幅下滑，而小麦现货持续上涨，再加上国家增储和商业储备带动中下游补库积极性，余粮压力得以化解，各地现货价格持续稳中有涨，推动期价持续上涨，形成市场正向反馈，但需要留意两个方面，其一是期价升水之下，需要现货持续上涨加以强化，其二是外盘延续弱势导致内外价差扩大，南方港口进口谷物库存或抑制销区现货价格。我们维持谨慎看多观点，建议投资者持有前期多单，如无前期多单则可考虑择机入场做多。</w:t>
      </w:r>
    </w:p>
    <w:p>
      <w:pPr>
        <w:pStyle w:val="93"/>
        <w:spacing w:before="0" w:beforeAutospacing="0" w:after="60" w:afterAutospacing="0"/>
        <w:ind w:left="630" w:leftChars="300"/>
        <w:rPr>
          <w:rFonts w:ascii="楷体" w:hAnsi="楷体" w:eastAsia="楷体"/>
        </w:rPr>
      </w:pPr>
      <w:r>
        <w:rPr>
          <w:rFonts w:hint="eastAsia" w:ascii="楷体" w:hAnsi="楷体" w:eastAsia="楷体"/>
        </w:rPr>
        <w:t>对于淀粉而言，节后淀粉-玉米价差整体收窄，主要源于行业供需端的变化，即春节期间高开机率带动行业库存快速累积。但考虑到副产品受蛋白粕带动依然低迷，而原料端即玉米收购价持续强势，华北-东北玉米价差小幅走扩，且盘面生产利润已经转负，这会抑制价差继续收窄的空间。综上所述，我们持谨慎看多观点，建议节前多单可以考虑继续持有，套利方面则暂以观望为宜。</w:t>
      </w:r>
    </w:p>
    <w:p>
      <w:pPr>
        <w:pStyle w:val="93"/>
        <w:spacing w:before="60" w:beforeAutospacing="0" w:after="60" w:afterAutospacing="0"/>
        <w:ind w:left="630" w:leftChars="300"/>
        <w:rPr>
          <w:rFonts w:ascii="楷体" w:hAnsi="楷体" w:eastAsia="楷体"/>
        </w:rPr>
      </w:pPr>
    </w:p>
    <w:p>
      <w:pPr>
        <w:pStyle w:val="93"/>
        <w:spacing w:before="60" w:beforeAutospacing="0" w:after="60" w:afterAutospacing="0"/>
        <w:ind w:left="420" w:leftChars="200"/>
        <w:outlineLvl w:val="1"/>
        <w:rPr>
          <w:rFonts w:ascii="楷体" w:hAnsi="楷体" w:eastAsia="楷体"/>
          <w:b/>
          <w:bCs/>
          <w:color w:val="000000" w:themeColor="text1"/>
          <w14:textFill>
            <w14:solidFill>
              <w14:schemeClr w14:val="tx1"/>
            </w14:solidFill>
          </w14:textFill>
        </w:rPr>
      </w:pPr>
      <w:bookmarkStart w:id="38" w:name="_Toc19714"/>
      <w:r>
        <w:rPr>
          <w:rFonts w:hint="eastAsia" w:ascii="楷体" w:hAnsi="楷体" w:eastAsia="楷体"/>
          <w:b/>
          <w:bCs/>
          <w:color w:val="000000" w:themeColor="text1"/>
          <w14:textFill>
            <w14:solidFill>
              <w14:schemeClr w14:val="tx1"/>
            </w14:solidFill>
          </w14:textFill>
        </w:rPr>
        <w:t>畜禽养殖：生猪期价冲高回落</w:t>
      </w:r>
      <w:bookmarkEnd w:id="38"/>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生猪而言，目前期价结构呈现远月升水结构，表明市场对远期供需预期趋于乐观，这主要源于产能去化即能繁母猪存栏的持续下降，但市场对其改善幅度存在分歧，特别是春节前仔猪现货价格大幅上涨之后，因其使得母猪养殖变得盈利，这将抑制产能的继续去化。对于现货而言，从农业农村部公布的四季度末生猪存栏可以看出，生猪供应有望低于去年同期，但考虑到需求季节性因素，能否改变供需格局尚未可知，而由于去年四季度豆粕和玉米的大幅下跌，生猪养殖饲料成本显著低于去年同期，在这种供需格局和饲料成本的背景下，市场普遍预计现货涨幅有限。接下来需要留意两个方面，其一是生猪价格何时止跌，及其低点的水平；其二是饲料原料成本，节后期价反弹更多源于后者。据此我们维持中性观点，建议投资者继续观望为宜，等待现货止跌后再行入场。</w:t>
      </w:r>
    </w:p>
    <w:p>
      <w:pPr>
        <w:pStyle w:val="93"/>
        <w:spacing w:before="0" w:beforeAutospacing="0" w:after="60" w:afterAutospacing="0"/>
        <w:ind w:left="630" w:leftChars="300"/>
        <w:rPr>
          <w:rFonts w:ascii="楷体" w:hAnsi="楷体" w:eastAsia="楷体"/>
        </w:rPr>
      </w:pPr>
      <w:r>
        <w:rPr>
          <w:rFonts w:hint="eastAsia" w:ascii="楷体" w:hAnsi="楷体" w:eastAsia="楷体"/>
        </w:rPr>
        <w:t>对于鸡蛋而言，分析市场可以看出，节前期价持续下跌，主要源于两个方面，其一是饲料原料成本的下滑，其二也是根本原因则在于供应端的增长，卓创资讯数据显示，在产蛋鸡存栏连续环比增加，考虑到今年节后以来蛋鸡苗销量均同比增加，而蛋鸡淘汰量持续处于历史低位水平，蛋鸡淘汰日龄则持续位于历史同期高位。接下来中期需要留意两个方面，其一是饲料原料成本的变化；其二是养殖户补栏和淘汰积极性的变化，随着鸡蛋现货价格的下跌，蛋鸡养殖利润亦随之下滑，养殖户淘汰积极性持续较高。考虑到节后现货已季节性回落，中期与短期利空因素或已经在很大程度上得以释放，继续下跌空间或有限，接下来或震荡反弹或趋于调整。我们维持中性观点，建议投资者观望，可考虑参与短线操作。</w:t>
      </w:r>
    </w:p>
    <w:p>
      <w:pPr>
        <w:ind w:firstLine="480" w:firstLineChars="200"/>
        <w:rPr>
          <w:rFonts w:ascii="楷体" w:hAnsi="楷体" w:eastAsia="楷体"/>
          <w:sz w:val="24"/>
          <w:szCs w:val="24"/>
        </w:rPr>
      </w:pPr>
    </w:p>
    <w:p>
      <w:pPr>
        <w:ind w:firstLine="480" w:firstLineChars="200"/>
        <w:rPr>
          <w:rFonts w:ascii="楷体" w:hAnsi="楷体" w:eastAsia="楷体"/>
          <w:bCs/>
          <w:sz w:val="24"/>
          <w:szCs w:val="24"/>
        </w:rPr>
      </w:pPr>
    </w:p>
    <w:p>
      <w:pPr>
        <w:pBdr>
          <w:top w:val="single" w:color="auto" w:sz="4" w:space="0"/>
        </w:pBdr>
        <w:outlineLvl w:val="0"/>
        <w:rPr>
          <w:rFonts w:ascii="Times New Roman" w:hAnsi="Times New Roman" w:eastAsia="楷体"/>
          <w:b/>
          <w:color w:val="823C0B"/>
        </w:rPr>
      </w:pPr>
      <w:bookmarkStart w:id="39" w:name="_Toc1507"/>
      <w:r>
        <w:rPr>
          <w:rFonts w:hint="eastAsia" w:ascii="Times New Roman" w:hAnsi="Times New Roman" w:eastAsia="楷体"/>
          <w:b/>
          <w:color w:val="823C0B"/>
          <w:sz w:val="30"/>
          <w:szCs w:val="30"/>
        </w:rPr>
        <w:t>[指数]</w:t>
      </w:r>
      <w:bookmarkEnd w:id="39"/>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40" w:name="_Toc8791"/>
      <w:r>
        <w:rPr>
          <w:rFonts w:hint="eastAsia" w:ascii="Times New Roman" w:hAnsi="Times New Roman" w:eastAsia="楷体"/>
          <w:b/>
          <w:color w:val="000000" w:themeColor="text1"/>
          <w:sz w:val="24"/>
          <w:szCs w:val="24"/>
          <w14:textFill>
            <w14:solidFill>
              <w14:schemeClr w14:val="tx1"/>
            </w14:solidFill>
          </w14:textFill>
        </w:rPr>
        <w:t>集运指数（欧线）：博弈现货下跌速度，期价预计偏弱震荡</w:t>
      </w:r>
      <w:bookmarkEnd w:id="40"/>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昨日盘后公布新一期SCFIS欧线数据下跌幅度超9%至2936点，跌破3000。短期看，马士基率先更新第9周和第10周的即期报价，较节前运价跌幅显著。红海局势方面冲突持续，目前由于红海地区的紧张局势当前依旧未能得到有效缓解，班轮公司继续选择绕道航行，绕航比例率至77%。</w:t>
      </w:r>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需求方面，春节长假后，运力供给的恢复一般较快，而工厂开工、货运需求则缓慢提升。因此周期性因素拖动EC转弱势，目前主力合约基差仍保持1000点左右的水平，未来1个月现货下跌速度成为博弈重新，预计期货价格震荡区间约为1800至2100点。</w:t>
      </w: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41" w:name="_Toc19667"/>
      <w:bookmarkStart w:id="42" w:name="_Toc98426751"/>
      <w:bookmarkStart w:id="43" w:name="_Toc12779"/>
      <w:bookmarkStart w:id="44" w:name="_Toc72481108"/>
      <w:bookmarkStart w:id="45" w:name="_Toc71212556"/>
      <w:r>
        <w:rPr>
          <w:rFonts w:ascii="Times New Roman" w:hAnsi="Times New Roman" w:eastAsia="楷体"/>
          <w:b/>
          <w:color w:val="411D05"/>
          <w:sz w:val="30"/>
          <w:szCs w:val="30"/>
        </w:rPr>
        <w:t>免责声明</w:t>
      </w:r>
      <w:bookmarkEnd w:id="41"/>
      <w:bookmarkEnd w:id="42"/>
      <w:bookmarkEnd w:id="43"/>
      <w:bookmarkEnd w:id="44"/>
      <w:bookmarkEnd w:id="45"/>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李代</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：F03086605</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：Z0016791</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薛晴</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：F3035906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：Z0016940</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88"/>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jc w:val="center"/>
        </w:trPr>
        <w:tc>
          <w:tcPr>
            <w:tcW w:w="5000" w:type="pct"/>
            <w:shd w:val="clear" w:color="auto" w:fill="auto"/>
            <w:vAlign w:val="center"/>
          </w:tcPr>
          <w:p>
            <w:pPr>
              <w:rPr>
                <w:rFonts w:ascii="Times New Roman" w:hAnsi="Times New Roman" w:eastAsia="楷体"/>
                <w:b/>
                <w:bCs/>
                <w:color w:val="823C0B"/>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w:rPr>
        <w:rFonts w:hint="eastAsia" w:ascii="楷体" w:hAnsi="楷体" w:eastAsia="楷体" w:cs="Times New Roman"/>
        <w:b/>
        <w:color w:val="833C0B"/>
        <w:sz w:val="21"/>
        <w:lang w:bidi="ar"/>
      </w:rPr>
      <w:t>广州期货提醒各位投资者，期市有风险，入市需谨慎！请阅读文末免责声明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57"/>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57"/>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2024年2月29日星期四</w:t>
    </w:r>
    <w:r>
      <w:rPr>
        <w:rFonts w:ascii="Times New Roman" w:hAnsi="Times New Roman" w:eastAsia="楷体"/>
        <w:b/>
        <w:bCs/>
        <w:color w:val="833C0B"/>
        <w:sz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13"/>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1046"/>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2593"/>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0D22"/>
    <w:rsid w:val="007111CD"/>
    <w:rsid w:val="00717EF8"/>
    <w:rsid w:val="0072164F"/>
    <w:rsid w:val="007253E7"/>
    <w:rsid w:val="0072736C"/>
    <w:rsid w:val="007315D8"/>
    <w:rsid w:val="00740BD1"/>
    <w:rsid w:val="00743CFD"/>
    <w:rsid w:val="007664C1"/>
    <w:rsid w:val="007700C2"/>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6D3E"/>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4EFA"/>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0226"/>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53BA"/>
    <w:rsid w:val="00FD6B0E"/>
    <w:rsid w:val="00FD7E42"/>
    <w:rsid w:val="00FE1B77"/>
    <w:rsid w:val="00FE40D8"/>
    <w:rsid w:val="00FE7219"/>
    <w:rsid w:val="00FF0163"/>
    <w:rsid w:val="02E32A5D"/>
    <w:rsid w:val="035D5749"/>
    <w:rsid w:val="057D13AE"/>
    <w:rsid w:val="064A667C"/>
    <w:rsid w:val="06B2613D"/>
    <w:rsid w:val="06B753E3"/>
    <w:rsid w:val="09B849A4"/>
    <w:rsid w:val="09F160E3"/>
    <w:rsid w:val="0AC64130"/>
    <w:rsid w:val="0B42525D"/>
    <w:rsid w:val="0C1F7DEE"/>
    <w:rsid w:val="0C88769D"/>
    <w:rsid w:val="0CDE660D"/>
    <w:rsid w:val="0D032A7C"/>
    <w:rsid w:val="0F662138"/>
    <w:rsid w:val="0F9B0CE9"/>
    <w:rsid w:val="0FF35275"/>
    <w:rsid w:val="100732C8"/>
    <w:rsid w:val="10DA6205"/>
    <w:rsid w:val="111441F0"/>
    <w:rsid w:val="113D3FD2"/>
    <w:rsid w:val="121F7D21"/>
    <w:rsid w:val="129B2E20"/>
    <w:rsid w:val="12AA5DF8"/>
    <w:rsid w:val="134E6356"/>
    <w:rsid w:val="13AE24B4"/>
    <w:rsid w:val="15364A7C"/>
    <w:rsid w:val="15602ADB"/>
    <w:rsid w:val="15D52593"/>
    <w:rsid w:val="197E6634"/>
    <w:rsid w:val="1B8A2034"/>
    <w:rsid w:val="1BC72FF7"/>
    <w:rsid w:val="1D03226A"/>
    <w:rsid w:val="1D5030CD"/>
    <w:rsid w:val="1D876087"/>
    <w:rsid w:val="1DFF64E4"/>
    <w:rsid w:val="1ECB51CD"/>
    <w:rsid w:val="1FDC1B35"/>
    <w:rsid w:val="2056595D"/>
    <w:rsid w:val="20AE4DE8"/>
    <w:rsid w:val="21194658"/>
    <w:rsid w:val="216834DE"/>
    <w:rsid w:val="21996AC1"/>
    <w:rsid w:val="219F3EE2"/>
    <w:rsid w:val="21F57098"/>
    <w:rsid w:val="22BB5089"/>
    <w:rsid w:val="24321B2E"/>
    <w:rsid w:val="244B21DE"/>
    <w:rsid w:val="247F3074"/>
    <w:rsid w:val="24B82D9D"/>
    <w:rsid w:val="258A2E5C"/>
    <w:rsid w:val="25B924F3"/>
    <w:rsid w:val="25E06B30"/>
    <w:rsid w:val="268419CF"/>
    <w:rsid w:val="26AC2D80"/>
    <w:rsid w:val="26F95364"/>
    <w:rsid w:val="2B9C319C"/>
    <w:rsid w:val="2C1D776C"/>
    <w:rsid w:val="2C6C12B9"/>
    <w:rsid w:val="2CA93C52"/>
    <w:rsid w:val="2D912E3A"/>
    <w:rsid w:val="2DC02C2B"/>
    <w:rsid w:val="2DE440F7"/>
    <w:rsid w:val="2FA14A50"/>
    <w:rsid w:val="2FA70F17"/>
    <w:rsid w:val="32951C0D"/>
    <w:rsid w:val="340E7198"/>
    <w:rsid w:val="34A75784"/>
    <w:rsid w:val="373F75CC"/>
    <w:rsid w:val="38F320AA"/>
    <w:rsid w:val="399D40A5"/>
    <w:rsid w:val="3A2F6D68"/>
    <w:rsid w:val="3AC9385E"/>
    <w:rsid w:val="3B3306F0"/>
    <w:rsid w:val="3B563B4D"/>
    <w:rsid w:val="3C2825B0"/>
    <w:rsid w:val="3C2B26B7"/>
    <w:rsid w:val="3C881F02"/>
    <w:rsid w:val="3CB420C3"/>
    <w:rsid w:val="3D8B796D"/>
    <w:rsid w:val="3DA80A30"/>
    <w:rsid w:val="3E643221"/>
    <w:rsid w:val="3EC32453"/>
    <w:rsid w:val="3ECC520D"/>
    <w:rsid w:val="3EE0186C"/>
    <w:rsid w:val="3EFE09FD"/>
    <w:rsid w:val="3F345DBE"/>
    <w:rsid w:val="40F15753"/>
    <w:rsid w:val="41F950F8"/>
    <w:rsid w:val="43F63E0D"/>
    <w:rsid w:val="44092E2E"/>
    <w:rsid w:val="441077D2"/>
    <w:rsid w:val="44396064"/>
    <w:rsid w:val="459609D9"/>
    <w:rsid w:val="45A37566"/>
    <w:rsid w:val="45CF0A85"/>
    <w:rsid w:val="46194A11"/>
    <w:rsid w:val="47752ACA"/>
    <w:rsid w:val="47C813F2"/>
    <w:rsid w:val="4A6F6249"/>
    <w:rsid w:val="4AB74C38"/>
    <w:rsid w:val="4B6224E5"/>
    <w:rsid w:val="4B8C4A56"/>
    <w:rsid w:val="4BF97936"/>
    <w:rsid w:val="4C457E30"/>
    <w:rsid w:val="4D2A3925"/>
    <w:rsid w:val="4DB20386"/>
    <w:rsid w:val="4DF02D90"/>
    <w:rsid w:val="5005695E"/>
    <w:rsid w:val="50286811"/>
    <w:rsid w:val="51266B84"/>
    <w:rsid w:val="5191036A"/>
    <w:rsid w:val="546B5509"/>
    <w:rsid w:val="548642E9"/>
    <w:rsid w:val="54C12E33"/>
    <w:rsid w:val="55633225"/>
    <w:rsid w:val="56DD4D3A"/>
    <w:rsid w:val="57555A7B"/>
    <w:rsid w:val="5770382C"/>
    <w:rsid w:val="57CB522F"/>
    <w:rsid w:val="58042686"/>
    <w:rsid w:val="58246D5D"/>
    <w:rsid w:val="58EC5960"/>
    <w:rsid w:val="59151C86"/>
    <w:rsid w:val="59C52328"/>
    <w:rsid w:val="5AD37D8A"/>
    <w:rsid w:val="5B906095"/>
    <w:rsid w:val="5BF60A75"/>
    <w:rsid w:val="5C9F2D01"/>
    <w:rsid w:val="5D5617A6"/>
    <w:rsid w:val="5D716329"/>
    <w:rsid w:val="5EA23F15"/>
    <w:rsid w:val="5EA7685B"/>
    <w:rsid w:val="5ED40954"/>
    <w:rsid w:val="60BE22C5"/>
    <w:rsid w:val="619A2BBF"/>
    <w:rsid w:val="61DF02D0"/>
    <w:rsid w:val="62710E5F"/>
    <w:rsid w:val="63735B47"/>
    <w:rsid w:val="63FF1EA7"/>
    <w:rsid w:val="64C32497"/>
    <w:rsid w:val="669D0EEA"/>
    <w:rsid w:val="66C861F9"/>
    <w:rsid w:val="66D04BBC"/>
    <w:rsid w:val="67655BF9"/>
    <w:rsid w:val="67C6389B"/>
    <w:rsid w:val="685D4EEE"/>
    <w:rsid w:val="68AE1587"/>
    <w:rsid w:val="68D53E8D"/>
    <w:rsid w:val="6A194855"/>
    <w:rsid w:val="6B292599"/>
    <w:rsid w:val="6D9172E5"/>
    <w:rsid w:val="6E133456"/>
    <w:rsid w:val="6ECB7DD2"/>
    <w:rsid w:val="6FE61065"/>
    <w:rsid w:val="70675779"/>
    <w:rsid w:val="713E0334"/>
    <w:rsid w:val="716F5E64"/>
    <w:rsid w:val="72417AFE"/>
    <w:rsid w:val="729B5F03"/>
    <w:rsid w:val="72D92B78"/>
    <w:rsid w:val="72F62A89"/>
    <w:rsid w:val="737357AF"/>
    <w:rsid w:val="74163BE4"/>
    <w:rsid w:val="75292EAC"/>
    <w:rsid w:val="755A5FEF"/>
    <w:rsid w:val="75775016"/>
    <w:rsid w:val="758E0106"/>
    <w:rsid w:val="7626762C"/>
    <w:rsid w:val="778F5135"/>
    <w:rsid w:val="77B53D6B"/>
    <w:rsid w:val="77D54B08"/>
    <w:rsid w:val="784F7772"/>
    <w:rsid w:val="78713929"/>
    <w:rsid w:val="78E55995"/>
    <w:rsid w:val="79267C0B"/>
    <w:rsid w:val="79C90FB7"/>
    <w:rsid w:val="7ABE4B56"/>
    <w:rsid w:val="7B264F79"/>
    <w:rsid w:val="7B3E5659"/>
    <w:rsid w:val="7BCC4162"/>
    <w:rsid w:val="7CD80967"/>
    <w:rsid w:val="7D0C2828"/>
    <w:rsid w:val="7D902239"/>
    <w:rsid w:val="7EAF7817"/>
    <w:rsid w:val="7FD64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3">
    <w:name w:val="heading 1"/>
    <w:basedOn w:val="1"/>
    <w:next w:val="1"/>
    <w:link w:val="9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04"/>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0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06"/>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0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108"/>
    <w:semiHidden/>
    <w:unhideWhenUsed/>
    <w:qFormat/>
    <w:uiPriority w:val="0"/>
    <w:pPr>
      <w:keepNext/>
      <w:keepLines/>
      <w:spacing w:before="240" w:after="64" w:line="320" w:lineRule="auto"/>
      <w:outlineLvl w:val="6"/>
    </w:pPr>
    <w:rPr>
      <w:b/>
      <w:bCs/>
      <w:sz w:val="24"/>
      <w:szCs w:val="24"/>
    </w:rPr>
  </w:style>
  <w:style w:type="paragraph" w:styleId="10">
    <w:name w:val="heading 8"/>
    <w:basedOn w:val="1"/>
    <w:next w:val="1"/>
    <w:link w:val="109"/>
    <w:semiHidden/>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110"/>
    <w:semiHidden/>
    <w:unhideWhenUsed/>
    <w:qFormat/>
    <w:uiPriority w:val="0"/>
    <w:pPr>
      <w:keepNext/>
      <w:keepLines/>
      <w:spacing w:before="240" w:after="64" w:line="320" w:lineRule="auto"/>
      <w:outlineLvl w:val="8"/>
    </w:pPr>
    <w:rPr>
      <w:rFonts w:asciiTheme="majorHAnsi" w:hAnsiTheme="majorHAnsi" w:eastAsiaTheme="majorEastAsia" w:cstheme="majorBidi"/>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contextualSpacing/>
    </w:p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contextualSpacing/>
    </w:pPr>
  </w:style>
  <w:style w:type="paragraph" w:styleId="15">
    <w:name w:val="table of authorities"/>
    <w:basedOn w:val="1"/>
    <w:next w:val="1"/>
    <w:qFormat/>
    <w:uiPriority w:val="0"/>
    <w:pPr>
      <w:ind w:left="420" w:leftChars="200"/>
    </w:pPr>
  </w:style>
  <w:style w:type="paragraph" w:styleId="16">
    <w:name w:val="Note Heading"/>
    <w:basedOn w:val="1"/>
    <w:next w:val="1"/>
    <w:link w:val="140"/>
    <w:qFormat/>
    <w:uiPriority w:val="0"/>
    <w:pPr>
      <w:jc w:val="center"/>
    </w:pPr>
  </w:style>
  <w:style w:type="paragraph" w:styleId="17">
    <w:name w:val="List Bullet 4"/>
    <w:basedOn w:val="1"/>
    <w:qFormat/>
    <w:uiPriority w:val="0"/>
    <w:pPr>
      <w:numPr>
        <w:ilvl w:val="0"/>
        <w:numId w:val="2"/>
      </w:numPr>
      <w:contextualSpacing/>
    </w:pPr>
  </w:style>
  <w:style w:type="paragraph" w:styleId="18">
    <w:name w:val="index 8"/>
    <w:basedOn w:val="1"/>
    <w:next w:val="1"/>
    <w:qFormat/>
    <w:uiPriority w:val="0"/>
    <w:pPr>
      <w:ind w:left="1400" w:leftChars="1400"/>
    </w:pPr>
  </w:style>
  <w:style w:type="paragraph" w:styleId="19">
    <w:name w:val="E-mail Signature"/>
    <w:basedOn w:val="1"/>
    <w:link w:val="113"/>
    <w:qFormat/>
    <w:uiPriority w:val="0"/>
  </w:style>
  <w:style w:type="paragraph" w:styleId="20">
    <w:name w:val="List Number"/>
    <w:basedOn w:val="1"/>
    <w:qFormat/>
    <w:uiPriority w:val="0"/>
    <w:pPr>
      <w:numPr>
        <w:ilvl w:val="0"/>
        <w:numId w:val="3"/>
      </w:numPr>
      <w:contextualSpacing/>
    </w:pPr>
  </w:style>
  <w:style w:type="paragraph" w:styleId="21">
    <w:name w:val="Normal Indent"/>
    <w:basedOn w:val="1"/>
    <w:qFormat/>
    <w:uiPriority w:val="0"/>
    <w:pPr>
      <w:ind w:firstLine="420" w:firstLineChars="200"/>
    </w:pPr>
  </w:style>
  <w:style w:type="paragraph" w:styleId="22">
    <w:name w:val="caption"/>
    <w:basedOn w:val="1"/>
    <w:next w:val="1"/>
    <w:semiHidden/>
    <w:unhideWhenUsed/>
    <w:qFormat/>
    <w:uiPriority w:val="0"/>
    <w:rPr>
      <w:rFonts w:eastAsia="黑体" w:asciiTheme="majorHAnsi" w:hAnsiTheme="majorHAnsi" w:cstheme="majorBid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contextualSpacing/>
    </w:p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27"/>
    <w:qFormat/>
    <w:uiPriority w:val="0"/>
    <w:rPr>
      <w:rFonts w:ascii="Microsoft YaHei UI" w:eastAsia="Microsoft YaHei UI"/>
      <w:sz w:val="18"/>
      <w:szCs w:val="18"/>
    </w:rPr>
  </w:style>
  <w:style w:type="paragraph" w:styleId="27">
    <w:name w:val="toa heading"/>
    <w:basedOn w:val="1"/>
    <w:next w:val="1"/>
    <w:qFormat/>
    <w:uiPriority w:val="0"/>
    <w:pPr>
      <w:spacing w:before="120"/>
    </w:pPr>
    <w:rPr>
      <w:rFonts w:asciiTheme="majorHAnsi" w:hAnsiTheme="majorHAnsi" w:eastAsiaTheme="majorEastAsia" w:cstheme="majorBidi"/>
      <w:sz w:val="24"/>
      <w:szCs w:val="24"/>
    </w:rPr>
  </w:style>
  <w:style w:type="paragraph" w:styleId="28">
    <w:name w:val="annotation text"/>
    <w:basedOn w:val="1"/>
    <w:link w:val="121"/>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11"/>
    <w:qFormat/>
    <w:uiPriority w:val="0"/>
  </w:style>
  <w:style w:type="paragraph" w:styleId="31">
    <w:name w:val="Body Text 3"/>
    <w:basedOn w:val="1"/>
    <w:link w:val="137"/>
    <w:qFormat/>
    <w:uiPriority w:val="0"/>
    <w:pPr>
      <w:spacing w:after="120"/>
    </w:pPr>
    <w:rPr>
      <w:sz w:val="16"/>
      <w:szCs w:val="16"/>
    </w:rPr>
  </w:style>
  <w:style w:type="paragraph" w:styleId="32">
    <w:name w:val="Closing"/>
    <w:basedOn w:val="1"/>
    <w:link w:val="117"/>
    <w:qFormat/>
    <w:uiPriority w:val="0"/>
    <w:pPr>
      <w:ind w:left="100" w:leftChars="2100"/>
    </w:pPr>
  </w:style>
  <w:style w:type="paragraph" w:styleId="33">
    <w:name w:val="List Bullet 3"/>
    <w:basedOn w:val="1"/>
    <w:qFormat/>
    <w:uiPriority w:val="0"/>
    <w:pPr>
      <w:numPr>
        <w:ilvl w:val="0"/>
        <w:numId w:val="5"/>
      </w:numPr>
      <w:contextualSpacing/>
    </w:pPr>
  </w:style>
  <w:style w:type="paragraph" w:styleId="34">
    <w:name w:val="Body Text"/>
    <w:basedOn w:val="1"/>
    <w:link w:val="132"/>
    <w:qFormat/>
    <w:uiPriority w:val="0"/>
    <w:pPr>
      <w:spacing w:after="120"/>
    </w:pPr>
  </w:style>
  <w:style w:type="paragraph" w:styleId="35">
    <w:name w:val="Body Text Indent"/>
    <w:basedOn w:val="1"/>
    <w:link w:val="134"/>
    <w:qFormat/>
    <w:uiPriority w:val="0"/>
    <w:pPr>
      <w:spacing w:after="120"/>
      <w:ind w:left="420" w:leftChars="200"/>
    </w:pPr>
  </w:style>
  <w:style w:type="paragraph" w:styleId="36">
    <w:name w:val="List Number 3"/>
    <w:basedOn w:val="1"/>
    <w:qFormat/>
    <w:uiPriority w:val="0"/>
    <w:pPr>
      <w:numPr>
        <w:ilvl w:val="0"/>
        <w:numId w:val="6"/>
      </w:numPr>
      <w:contextualSpacing/>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contextualSpacing/>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7"/>
      </w:numPr>
      <w:contextualSpacing/>
    </w:pPr>
  </w:style>
  <w:style w:type="paragraph" w:styleId="41">
    <w:name w:val="HTML Address"/>
    <w:basedOn w:val="1"/>
    <w:link w:val="99"/>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ind w:left="840" w:leftChars="400"/>
    </w:pPr>
  </w:style>
  <w:style w:type="paragraph" w:styleId="45">
    <w:name w:val="Plain Text"/>
    <w:basedOn w:val="1"/>
    <w:link w:val="112"/>
    <w:qFormat/>
    <w:uiPriority w:val="0"/>
    <w:rPr>
      <w:rFonts w:hAnsi="Courier New" w:cs="Courier New" w:asciiTheme="minorEastAsia" w:eastAsiaTheme="minorEastAsia"/>
    </w:rPr>
  </w:style>
  <w:style w:type="paragraph" w:styleId="46">
    <w:name w:val="List Bullet 5"/>
    <w:basedOn w:val="1"/>
    <w:qFormat/>
    <w:uiPriority w:val="0"/>
    <w:pPr>
      <w:numPr>
        <w:ilvl w:val="0"/>
        <w:numId w:val="8"/>
      </w:numPr>
      <w:contextualSpacing/>
    </w:pPr>
  </w:style>
  <w:style w:type="paragraph" w:styleId="47">
    <w:name w:val="List Number 4"/>
    <w:basedOn w:val="1"/>
    <w:qFormat/>
    <w:uiPriority w:val="0"/>
    <w:pPr>
      <w:numPr>
        <w:ilvl w:val="0"/>
        <w:numId w:val="9"/>
      </w:numPr>
      <w:contextualSpacing/>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24"/>
    <w:qFormat/>
    <w:uiPriority w:val="0"/>
    <w:pPr>
      <w:ind w:left="100" w:leftChars="2500"/>
    </w:pPr>
  </w:style>
  <w:style w:type="paragraph" w:styleId="51">
    <w:name w:val="Body Text Indent 2"/>
    <w:basedOn w:val="1"/>
    <w:link w:val="138"/>
    <w:qFormat/>
    <w:uiPriority w:val="0"/>
    <w:pPr>
      <w:spacing w:after="120" w:line="480" w:lineRule="auto"/>
      <w:ind w:left="420" w:leftChars="200"/>
    </w:pPr>
  </w:style>
  <w:style w:type="paragraph" w:styleId="52">
    <w:name w:val="endnote text"/>
    <w:basedOn w:val="1"/>
    <w:link w:val="126"/>
    <w:qFormat/>
    <w:uiPriority w:val="0"/>
    <w:pPr>
      <w:snapToGrid w:val="0"/>
      <w:jc w:val="left"/>
    </w:pPr>
  </w:style>
  <w:style w:type="paragraph" w:styleId="53">
    <w:name w:val="List Continue 5"/>
    <w:basedOn w:val="1"/>
    <w:qFormat/>
    <w:uiPriority w:val="0"/>
    <w:pPr>
      <w:spacing w:after="120"/>
      <w:ind w:left="2100" w:leftChars="1000"/>
      <w:contextualSpacing/>
    </w:pPr>
  </w:style>
  <w:style w:type="paragraph" w:styleId="54">
    <w:name w:val="Balloon Text"/>
    <w:basedOn w:val="1"/>
    <w:link w:val="120"/>
    <w:semiHidden/>
    <w:unhideWhenUsed/>
    <w:qFormat/>
    <w:uiPriority w:val="0"/>
    <w:rPr>
      <w:sz w:val="18"/>
      <w:szCs w:val="18"/>
    </w:rPr>
  </w:style>
  <w:style w:type="paragraph" w:styleId="55">
    <w:name w:val="footer"/>
    <w:basedOn w:val="1"/>
    <w:qFormat/>
    <w:uiPriority w:val="0"/>
    <w:pPr>
      <w:tabs>
        <w:tab w:val="center" w:pos="4153"/>
        <w:tab w:val="right" w:pos="8306"/>
      </w:tabs>
      <w:snapToGrid w:val="0"/>
      <w:jc w:val="left"/>
    </w:pPr>
    <w:rPr>
      <w:sz w:val="18"/>
    </w:rPr>
  </w:style>
  <w:style w:type="paragraph" w:styleId="56">
    <w:name w:val="envelope return"/>
    <w:basedOn w:val="1"/>
    <w:qFormat/>
    <w:uiPriority w:val="0"/>
    <w:pPr>
      <w:snapToGrid w:val="0"/>
    </w:pPr>
    <w:rPr>
      <w:rFonts w:asciiTheme="majorHAnsi" w:hAnsiTheme="majorHAnsi" w:eastAsiaTheme="majorEastAsia" w:cstheme="majorBidi"/>
    </w:rPr>
  </w:style>
  <w:style w:type="paragraph" w:styleId="5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23"/>
    <w:qFormat/>
    <w:uiPriority w:val="0"/>
    <w:pPr>
      <w:ind w:left="100" w:leftChars="2100"/>
    </w:pPr>
  </w:style>
  <w:style w:type="paragraph" w:styleId="59">
    <w:name w:val="toc 1"/>
    <w:basedOn w:val="1"/>
    <w:next w:val="1"/>
    <w:qFormat/>
    <w:uiPriority w:val="39"/>
  </w:style>
  <w:style w:type="paragraph" w:styleId="60">
    <w:name w:val="List Continue 4"/>
    <w:basedOn w:val="1"/>
    <w:qFormat/>
    <w:uiPriority w:val="0"/>
    <w:pPr>
      <w:spacing w:after="120"/>
      <w:ind w:left="1680" w:leftChars="800"/>
      <w:contextualSpacing/>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Theme="majorHAnsi" w:hAnsiTheme="majorHAnsi" w:eastAsiaTheme="majorEastAsia" w:cstheme="majorBidi"/>
      <w:b/>
      <w:bCs/>
    </w:rPr>
  </w:style>
  <w:style w:type="paragraph" w:styleId="63">
    <w:name w:val="index 1"/>
    <w:basedOn w:val="1"/>
    <w:next w:val="1"/>
    <w:qFormat/>
    <w:uiPriority w:val="0"/>
  </w:style>
  <w:style w:type="paragraph" w:styleId="64">
    <w:name w:val="Subtitle"/>
    <w:basedOn w:val="1"/>
    <w:next w:val="1"/>
    <w:link w:val="114"/>
    <w:qFormat/>
    <w:uiPriority w:val="0"/>
    <w:pPr>
      <w:spacing w:before="240" w:after="60" w:line="312" w:lineRule="auto"/>
      <w:jc w:val="center"/>
      <w:outlineLvl w:val="1"/>
    </w:pPr>
    <w:rPr>
      <w:rFonts w:eastAsiaTheme="minorEastAsia"/>
      <w:b/>
      <w:bCs/>
      <w:kern w:val="28"/>
      <w:sz w:val="32"/>
      <w:szCs w:val="32"/>
    </w:rPr>
  </w:style>
  <w:style w:type="paragraph" w:styleId="65">
    <w:name w:val="List Number 5"/>
    <w:basedOn w:val="1"/>
    <w:qFormat/>
    <w:uiPriority w:val="0"/>
    <w:pPr>
      <w:numPr>
        <w:ilvl w:val="0"/>
        <w:numId w:val="10"/>
      </w:numPr>
      <w:contextualSpacing/>
    </w:pPr>
  </w:style>
  <w:style w:type="paragraph" w:styleId="66">
    <w:name w:val="List"/>
    <w:basedOn w:val="1"/>
    <w:qFormat/>
    <w:uiPriority w:val="0"/>
    <w:pPr>
      <w:ind w:left="200" w:hanging="200" w:hangingChars="200"/>
      <w:contextualSpacing/>
    </w:pPr>
  </w:style>
  <w:style w:type="paragraph" w:styleId="67">
    <w:name w:val="footnote text"/>
    <w:basedOn w:val="1"/>
    <w:link w:val="116"/>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contextualSpacing/>
    </w:pPr>
  </w:style>
  <w:style w:type="paragraph" w:styleId="70">
    <w:name w:val="Body Text Indent 3"/>
    <w:basedOn w:val="1"/>
    <w:link w:val="139"/>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39"/>
    <w:pPr>
      <w:ind w:left="420" w:leftChars="200"/>
    </w:pPr>
  </w:style>
  <w:style w:type="paragraph" w:styleId="75">
    <w:name w:val="toc 9"/>
    <w:basedOn w:val="1"/>
    <w:next w:val="1"/>
    <w:qFormat/>
    <w:uiPriority w:val="0"/>
    <w:pPr>
      <w:ind w:left="3360" w:leftChars="1600"/>
    </w:pPr>
  </w:style>
  <w:style w:type="paragraph" w:styleId="76">
    <w:name w:val="Body Text 2"/>
    <w:basedOn w:val="1"/>
    <w:link w:val="136"/>
    <w:qFormat/>
    <w:uiPriority w:val="0"/>
    <w:pPr>
      <w:spacing w:after="120" w:line="480" w:lineRule="auto"/>
    </w:pPr>
  </w:style>
  <w:style w:type="paragraph" w:styleId="77">
    <w:name w:val="List 4"/>
    <w:basedOn w:val="1"/>
    <w:qFormat/>
    <w:uiPriority w:val="0"/>
    <w:pPr>
      <w:ind w:left="100" w:leftChars="600" w:hanging="200" w:hangingChars="200"/>
      <w:contextualSpacing/>
    </w:pPr>
  </w:style>
  <w:style w:type="paragraph" w:styleId="78">
    <w:name w:val="List Continue 2"/>
    <w:basedOn w:val="1"/>
    <w:qFormat/>
    <w:uiPriority w:val="0"/>
    <w:pPr>
      <w:spacing w:after="120"/>
      <w:ind w:left="840" w:leftChars="400"/>
      <w:contextualSpacing/>
    </w:pPr>
  </w:style>
  <w:style w:type="paragraph" w:styleId="79">
    <w:name w:val="Message Header"/>
    <w:basedOn w:val="1"/>
    <w:link w:val="12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00"/>
    <w:qFormat/>
    <w:uiPriority w:val="0"/>
    <w:rPr>
      <w:rFonts w:ascii="Courier New" w:hAnsi="Courier New" w:cs="Courier New"/>
      <w:sz w:val="20"/>
      <w:szCs w:val="20"/>
    </w:rPr>
  </w:style>
  <w:style w:type="paragraph" w:styleId="81">
    <w:name w:val="Normal (Web)"/>
    <w:basedOn w:val="1"/>
    <w:qFormat/>
    <w:uiPriority w:val="0"/>
    <w:rPr>
      <w:rFonts w:ascii="Times New Roman" w:hAnsi="Times New Roman" w:cs="Times New Roman"/>
      <w:sz w:val="24"/>
      <w:szCs w:val="24"/>
    </w:rPr>
  </w:style>
  <w:style w:type="paragraph" w:styleId="82">
    <w:name w:val="List Continue 3"/>
    <w:basedOn w:val="1"/>
    <w:qFormat/>
    <w:uiPriority w:val="0"/>
    <w:pPr>
      <w:spacing w:after="120"/>
      <w:ind w:left="1260" w:leftChars="600"/>
      <w:contextualSpacing/>
    </w:pPr>
  </w:style>
  <w:style w:type="paragraph" w:styleId="83">
    <w:name w:val="index 2"/>
    <w:basedOn w:val="1"/>
    <w:next w:val="1"/>
    <w:qFormat/>
    <w:uiPriority w:val="0"/>
    <w:pPr>
      <w:ind w:left="200" w:leftChars="200"/>
    </w:pPr>
  </w:style>
  <w:style w:type="paragraph" w:styleId="84">
    <w:name w:val="Title"/>
    <w:basedOn w:val="1"/>
    <w:next w:val="1"/>
    <w:link w:val="102"/>
    <w:qFormat/>
    <w:uiPriority w:val="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22"/>
    <w:semiHidden/>
    <w:unhideWhenUsed/>
    <w:qFormat/>
    <w:uiPriority w:val="0"/>
    <w:rPr>
      <w:b/>
      <w:bCs/>
    </w:rPr>
  </w:style>
  <w:style w:type="paragraph" w:styleId="86">
    <w:name w:val="Body Text First Indent"/>
    <w:basedOn w:val="34"/>
    <w:link w:val="133"/>
    <w:qFormat/>
    <w:uiPriority w:val="0"/>
    <w:pPr>
      <w:ind w:firstLine="420" w:firstLineChars="100"/>
    </w:pPr>
  </w:style>
  <w:style w:type="paragraph" w:styleId="87">
    <w:name w:val="Body Text First Indent 2"/>
    <w:basedOn w:val="35"/>
    <w:link w:val="135"/>
    <w:qFormat/>
    <w:uiPriority w:val="0"/>
    <w:pPr>
      <w:ind w:firstLine="420" w:firstLineChars="200"/>
    </w:pPr>
  </w:style>
  <w:style w:type="table" w:styleId="89">
    <w:name w:val="Table Grid"/>
    <w:basedOn w:val="8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FollowedHyperlink"/>
    <w:basedOn w:val="90"/>
    <w:qFormat/>
    <w:uiPriority w:val="0"/>
    <w:rPr>
      <w:color w:val="954F72" w:themeColor="followedHyperlink"/>
      <w:u w:val="single"/>
      <w14:textFill>
        <w14:solidFill>
          <w14:schemeClr w14:val="folHlink"/>
        </w14:solidFill>
      </w14:textFill>
    </w:rPr>
  </w:style>
  <w:style w:type="character" w:styleId="92">
    <w:name w:val="Hyperlink"/>
    <w:basedOn w:val="90"/>
    <w:qFormat/>
    <w:uiPriority w:val="99"/>
    <w:rPr>
      <w:color w:val="0563C1" w:themeColor="hyperlink"/>
      <w:u w:val="single"/>
      <w14:textFill>
        <w14:solidFill>
          <w14:schemeClr w14:val="hlink"/>
        </w14:solidFill>
      </w14:textFill>
    </w:rPr>
  </w:style>
  <w:style w:type="paragraph" w:customStyle="1" w:styleId="93">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94">
    <w:name w:val="List Paragraph"/>
    <w:basedOn w:val="1"/>
    <w:qFormat/>
    <w:uiPriority w:val="99"/>
    <w:pPr>
      <w:ind w:firstLine="420" w:firstLineChars="200"/>
    </w:pPr>
  </w:style>
  <w:style w:type="paragraph" w:customStyle="1" w:styleId="95">
    <w:name w:val="WPSOffice手动目录 1"/>
    <w:qFormat/>
    <w:uiPriority w:val="0"/>
    <w:rPr>
      <w:rFonts w:ascii="Times New Roman" w:hAnsi="Times New Roman" w:eastAsia="宋体" w:cs="Times New Roman"/>
      <w:lang w:val="en-US" w:eastAsia="zh-CN" w:bidi="ar-SA"/>
    </w:rPr>
  </w:style>
  <w:style w:type="paragraph" w:customStyle="1" w:styleId="9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7">
    <w:name w:val="标题 1 字符"/>
    <w:basedOn w:val="90"/>
    <w:link w:val="3"/>
    <w:qFormat/>
    <w:uiPriority w:val="0"/>
    <w:rPr>
      <w:rFonts w:asciiTheme="minorHAnsi" w:hAnsiTheme="minorHAnsi" w:cstheme="minorBidi"/>
      <w:b/>
      <w:bCs/>
      <w:kern w:val="44"/>
      <w:sz w:val="44"/>
      <w:szCs w:val="44"/>
    </w:rPr>
  </w:style>
  <w:style w:type="paragraph" w:customStyle="1" w:styleId="9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9">
    <w:name w:val="HTML 地址 字符"/>
    <w:basedOn w:val="90"/>
    <w:link w:val="41"/>
    <w:qFormat/>
    <w:uiPriority w:val="0"/>
    <w:rPr>
      <w:rFonts w:asciiTheme="minorHAnsi" w:hAnsiTheme="minorHAnsi" w:cstheme="minorBidi"/>
      <w:i/>
      <w:iCs/>
      <w:kern w:val="2"/>
      <w:sz w:val="21"/>
      <w:szCs w:val="21"/>
    </w:rPr>
  </w:style>
  <w:style w:type="character" w:customStyle="1" w:styleId="100">
    <w:name w:val="HTML 预设格式 字符"/>
    <w:basedOn w:val="90"/>
    <w:link w:val="80"/>
    <w:qFormat/>
    <w:uiPriority w:val="0"/>
    <w:rPr>
      <w:rFonts w:ascii="Courier New" w:hAnsi="Courier New" w:cs="Courier New"/>
      <w:kern w:val="2"/>
    </w:rPr>
  </w:style>
  <w:style w:type="paragraph" w:customStyle="1" w:styleId="101">
    <w:name w:val="TOC Heading"/>
    <w:basedOn w:val="3"/>
    <w:next w:val="1"/>
    <w:semiHidden/>
    <w:unhideWhenUsed/>
    <w:qFormat/>
    <w:uiPriority w:val="39"/>
    <w:pPr>
      <w:outlineLvl w:val="9"/>
    </w:pPr>
  </w:style>
  <w:style w:type="character" w:customStyle="1" w:styleId="102">
    <w:name w:val="标题 字符"/>
    <w:basedOn w:val="90"/>
    <w:link w:val="84"/>
    <w:qFormat/>
    <w:uiPriority w:val="0"/>
    <w:rPr>
      <w:rFonts w:asciiTheme="majorHAnsi" w:hAnsiTheme="majorHAnsi" w:eastAsiaTheme="majorEastAsia" w:cstheme="majorBidi"/>
      <w:b/>
      <w:bCs/>
      <w:kern w:val="2"/>
      <w:sz w:val="32"/>
      <w:szCs w:val="32"/>
    </w:rPr>
  </w:style>
  <w:style w:type="character" w:customStyle="1" w:styleId="103">
    <w:name w:val="标题 2 字符"/>
    <w:basedOn w:val="90"/>
    <w:link w:val="4"/>
    <w:semiHidden/>
    <w:qFormat/>
    <w:uiPriority w:val="0"/>
    <w:rPr>
      <w:rFonts w:asciiTheme="majorHAnsi" w:hAnsiTheme="majorHAnsi" w:eastAsiaTheme="majorEastAsia" w:cstheme="majorBidi"/>
      <w:b/>
      <w:bCs/>
      <w:kern w:val="2"/>
      <w:sz w:val="32"/>
      <w:szCs w:val="32"/>
    </w:rPr>
  </w:style>
  <w:style w:type="character" w:customStyle="1" w:styleId="104">
    <w:name w:val="标题 3 字符"/>
    <w:basedOn w:val="90"/>
    <w:link w:val="5"/>
    <w:semiHidden/>
    <w:qFormat/>
    <w:uiPriority w:val="0"/>
    <w:rPr>
      <w:rFonts w:asciiTheme="minorHAnsi" w:hAnsiTheme="minorHAnsi" w:cstheme="minorBidi"/>
      <w:b/>
      <w:bCs/>
      <w:kern w:val="2"/>
      <w:sz w:val="32"/>
      <w:szCs w:val="32"/>
    </w:rPr>
  </w:style>
  <w:style w:type="character" w:customStyle="1" w:styleId="105">
    <w:name w:val="标题 4 字符"/>
    <w:basedOn w:val="90"/>
    <w:link w:val="6"/>
    <w:semiHidden/>
    <w:qFormat/>
    <w:uiPriority w:val="0"/>
    <w:rPr>
      <w:rFonts w:asciiTheme="majorHAnsi" w:hAnsiTheme="majorHAnsi" w:eastAsiaTheme="majorEastAsia" w:cstheme="majorBidi"/>
      <w:b/>
      <w:bCs/>
      <w:kern w:val="2"/>
      <w:sz w:val="28"/>
      <w:szCs w:val="28"/>
    </w:rPr>
  </w:style>
  <w:style w:type="character" w:customStyle="1" w:styleId="106">
    <w:name w:val="标题 5 字符"/>
    <w:basedOn w:val="90"/>
    <w:link w:val="7"/>
    <w:semiHidden/>
    <w:qFormat/>
    <w:uiPriority w:val="0"/>
    <w:rPr>
      <w:rFonts w:asciiTheme="minorHAnsi" w:hAnsiTheme="minorHAnsi" w:cstheme="minorBidi"/>
      <w:b/>
      <w:bCs/>
      <w:kern w:val="2"/>
      <w:sz w:val="28"/>
      <w:szCs w:val="28"/>
    </w:rPr>
  </w:style>
  <w:style w:type="character" w:customStyle="1" w:styleId="107">
    <w:name w:val="标题 6 字符"/>
    <w:basedOn w:val="90"/>
    <w:link w:val="8"/>
    <w:semiHidden/>
    <w:qFormat/>
    <w:uiPriority w:val="0"/>
    <w:rPr>
      <w:rFonts w:asciiTheme="majorHAnsi" w:hAnsiTheme="majorHAnsi" w:eastAsiaTheme="majorEastAsia" w:cstheme="majorBidi"/>
      <w:b/>
      <w:bCs/>
      <w:kern w:val="2"/>
      <w:sz w:val="24"/>
      <w:szCs w:val="24"/>
    </w:rPr>
  </w:style>
  <w:style w:type="character" w:customStyle="1" w:styleId="108">
    <w:name w:val="标题 7 字符"/>
    <w:basedOn w:val="90"/>
    <w:link w:val="9"/>
    <w:semiHidden/>
    <w:qFormat/>
    <w:uiPriority w:val="0"/>
    <w:rPr>
      <w:rFonts w:asciiTheme="minorHAnsi" w:hAnsiTheme="minorHAnsi" w:cstheme="minorBidi"/>
      <w:b/>
      <w:bCs/>
      <w:kern w:val="2"/>
      <w:sz w:val="24"/>
      <w:szCs w:val="24"/>
    </w:rPr>
  </w:style>
  <w:style w:type="character" w:customStyle="1" w:styleId="109">
    <w:name w:val="标题 8 字符"/>
    <w:basedOn w:val="90"/>
    <w:link w:val="10"/>
    <w:semiHidden/>
    <w:qFormat/>
    <w:uiPriority w:val="0"/>
    <w:rPr>
      <w:rFonts w:asciiTheme="majorHAnsi" w:hAnsiTheme="majorHAnsi" w:eastAsiaTheme="majorEastAsia" w:cstheme="majorBidi"/>
      <w:kern w:val="2"/>
      <w:sz w:val="24"/>
      <w:szCs w:val="24"/>
    </w:rPr>
  </w:style>
  <w:style w:type="character" w:customStyle="1" w:styleId="110">
    <w:name w:val="标题 9 字符"/>
    <w:basedOn w:val="90"/>
    <w:link w:val="11"/>
    <w:semiHidden/>
    <w:qFormat/>
    <w:uiPriority w:val="0"/>
    <w:rPr>
      <w:rFonts w:asciiTheme="majorHAnsi" w:hAnsiTheme="majorHAnsi" w:eastAsiaTheme="majorEastAsia" w:cstheme="majorBidi"/>
      <w:kern w:val="2"/>
      <w:sz w:val="21"/>
      <w:szCs w:val="21"/>
    </w:rPr>
  </w:style>
  <w:style w:type="character" w:customStyle="1" w:styleId="111">
    <w:name w:val="称呼 字符"/>
    <w:basedOn w:val="90"/>
    <w:link w:val="30"/>
    <w:qFormat/>
    <w:uiPriority w:val="0"/>
    <w:rPr>
      <w:rFonts w:asciiTheme="minorHAnsi" w:hAnsiTheme="minorHAnsi" w:cstheme="minorBidi"/>
      <w:kern w:val="2"/>
      <w:sz w:val="21"/>
      <w:szCs w:val="21"/>
    </w:rPr>
  </w:style>
  <w:style w:type="character" w:customStyle="1" w:styleId="112">
    <w:name w:val="纯文本 字符"/>
    <w:basedOn w:val="90"/>
    <w:link w:val="45"/>
    <w:qFormat/>
    <w:uiPriority w:val="0"/>
    <w:rPr>
      <w:rFonts w:hAnsi="Courier New" w:cs="Courier New" w:asciiTheme="minorEastAsia" w:eastAsiaTheme="minorEastAsia"/>
      <w:kern w:val="2"/>
      <w:sz w:val="21"/>
      <w:szCs w:val="21"/>
    </w:rPr>
  </w:style>
  <w:style w:type="character" w:customStyle="1" w:styleId="113">
    <w:name w:val="电子邮件签名 字符"/>
    <w:basedOn w:val="90"/>
    <w:link w:val="19"/>
    <w:qFormat/>
    <w:uiPriority w:val="0"/>
    <w:rPr>
      <w:rFonts w:asciiTheme="minorHAnsi" w:hAnsiTheme="minorHAnsi" w:cstheme="minorBidi"/>
      <w:kern w:val="2"/>
      <w:sz w:val="21"/>
      <w:szCs w:val="21"/>
    </w:rPr>
  </w:style>
  <w:style w:type="character" w:customStyle="1" w:styleId="114">
    <w:name w:val="副标题 字符"/>
    <w:basedOn w:val="90"/>
    <w:link w:val="64"/>
    <w:qFormat/>
    <w:uiPriority w:val="0"/>
    <w:rPr>
      <w:rFonts w:asciiTheme="minorHAnsi" w:hAnsiTheme="minorHAnsi" w:eastAsiaTheme="minorEastAsia" w:cstheme="minorBidi"/>
      <w:b/>
      <w:bCs/>
      <w:kern w:val="28"/>
      <w:sz w:val="32"/>
      <w:szCs w:val="32"/>
    </w:rPr>
  </w:style>
  <w:style w:type="character" w:customStyle="1" w:styleId="115">
    <w:name w:val="宏文本 字符"/>
    <w:basedOn w:val="90"/>
    <w:link w:val="2"/>
    <w:qFormat/>
    <w:uiPriority w:val="0"/>
    <w:rPr>
      <w:rFonts w:ascii="Courier New" w:hAnsi="Courier New" w:cs="Courier New"/>
      <w:kern w:val="2"/>
      <w:sz w:val="24"/>
      <w:szCs w:val="24"/>
    </w:rPr>
  </w:style>
  <w:style w:type="character" w:customStyle="1" w:styleId="116">
    <w:name w:val="脚注文本 字符"/>
    <w:basedOn w:val="90"/>
    <w:link w:val="67"/>
    <w:qFormat/>
    <w:uiPriority w:val="0"/>
    <w:rPr>
      <w:rFonts w:asciiTheme="minorHAnsi" w:hAnsiTheme="minorHAnsi" w:cstheme="minorBidi"/>
      <w:kern w:val="2"/>
      <w:sz w:val="18"/>
      <w:szCs w:val="18"/>
    </w:rPr>
  </w:style>
  <w:style w:type="character" w:customStyle="1" w:styleId="117">
    <w:name w:val="结束语 字符"/>
    <w:basedOn w:val="90"/>
    <w:link w:val="32"/>
    <w:qFormat/>
    <w:uiPriority w:val="0"/>
    <w:rPr>
      <w:rFonts w:asciiTheme="minorHAnsi" w:hAnsiTheme="minorHAnsi" w:cstheme="minorBidi"/>
      <w:kern w:val="2"/>
      <w:sz w:val="21"/>
      <w:szCs w:val="21"/>
    </w:rPr>
  </w:style>
  <w:style w:type="paragraph" w:styleId="118">
    <w:name w:val="Intense Quote"/>
    <w:basedOn w:val="1"/>
    <w:next w:val="1"/>
    <w:link w:val="119"/>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19">
    <w:name w:val="明显引用 字符"/>
    <w:basedOn w:val="90"/>
    <w:link w:val="118"/>
    <w:qFormat/>
    <w:uiPriority w:val="99"/>
    <w:rPr>
      <w:rFonts w:asciiTheme="minorHAnsi" w:hAnsiTheme="minorHAnsi" w:cstheme="minorBidi"/>
      <w:i/>
      <w:iCs/>
      <w:color w:val="5B9BD5" w:themeColor="accent1"/>
      <w:kern w:val="2"/>
      <w:sz w:val="21"/>
      <w:szCs w:val="21"/>
      <w14:textFill>
        <w14:solidFill>
          <w14:schemeClr w14:val="accent1"/>
        </w14:solidFill>
      </w14:textFill>
    </w:rPr>
  </w:style>
  <w:style w:type="character" w:customStyle="1" w:styleId="120">
    <w:name w:val="批注框文本 字符"/>
    <w:basedOn w:val="90"/>
    <w:link w:val="54"/>
    <w:semiHidden/>
    <w:qFormat/>
    <w:uiPriority w:val="0"/>
    <w:rPr>
      <w:rFonts w:asciiTheme="minorHAnsi" w:hAnsiTheme="minorHAnsi" w:cstheme="minorBidi"/>
      <w:kern w:val="2"/>
      <w:sz w:val="18"/>
      <w:szCs w:val="18"/>
    </w:rPr>
  </w:style>
  <w:style w:type="character" w:customStyle="1" w:styleId="121">
    <w:name w:val="批注文字 字符"/>
    <w:basedOn w:val="90"/>
    <w:link w:val="28"/>
    <w:qFormat/>
    <w:uiPriority w:val="0"/>
    <w:rPr>
      <w:rFonts w:asciiTheme="minorHAnsi" w:hAnsiTheme="minorHAnsi" w:cstheme="minorBidi"/>
      <w:kern w:val="2"/>
      <w:sz w:val="21"/>
      <w:szCs w:val="21"/>
    </w:rPr>
  </w:style>
  <w:style w:type="character" w:customStyle="1" w:styleId="122">
    <w:name w:val="批注主题 字符"/>
    <w:basedOn w:val="121"/>
    <w:link w:val="85"/>
    <w:semiHidden/>
    <w:qFormat/>
    <w:uiPriority w:val="0"/>
    <w:rPr>
      <w:rFonts w:asciiTheme="minorHAnsi" w:hAnsiTheme="minorHAnsi" w:cstheme="minorBidi"/>
      <w:b/>
      <w:bCs/>
      <w:kern w:val="2"/>
      <w:sz w:val="21"/>
      <w:szCs w:val="21"/>
    </w:rPr>
  </w:style>
  <w:style w:type="character" w:customStyle="1" w:styleId="123">
    <w:name w:val="签名 字符"/>
    <w:basedOn w:val="90"/>
    <w:link w:val="58"/>
    <w:qFormat/>
    <w:uiPriority w:val="0"/>
    <w:rPr>
      <w:rFonts w:asciiTheme="minorHAnsi" w:hAnsiTheme="minorHAnsi" w:cstheme="minorBidi"/>
      <w:kern w:val="2"/>
      <w:sz w:val="21"/>
      <w:szCs w:val="21"/>
    </w:rPr>
  </w:style>
  <w:style w:type="character" w:customStyle="1" w:styleId="124">
    <w:name w:val="日期 字符"/>
    <w:basedOn w:val="90"/>
    <w:link w:val="50"/>
    <w:qFormat/>
    <w:uiPriority w:val="0"/>
    <w:rPr>
      <w:rFonts w:asciiTheme="minorHAnsi" w:hAnsiTheme="minorHAnsi" w:cstheme="minorBidi"/>
      <w:kern w:val="2"/>
      <w:sz w:val="21"/>
      <w:szCs w:val="21"/>
    </w:rPr>
  </w:style>
  <w:style w:type="paragraph" w:customStyle="1" w:styleId="125">
    <w:name w:val="Bibliography"/>
    <w:basedOn w:val="1"/>
    <w:next w:val="1"/>
    <w:semiHidden/>
    <w:unhideWhenUsed/>
    <w:qFormat/>
    <w:uiPriority w:val="37"/>
  </w:style>
  <w:style w:type="character" w:customStyle="1" w:styleId="126">
    <w:name w:val="尾注文本 字符"/>
    <w:basedOn w:val="90"/>
    <w:link w:val="52"/>
    <w:qFormat/>
    <w:uiPriority w:val="0"/>
    <w:rPr>
      <w:rFonts w:asciiTheme="minorHAnsi" w:hAnsiTheme="minorHAnsi" w:cstheme="minorBidi"/>
      <w:kern w:val="2"/>
      <w:sz w:val="21"/>
      <w:szCs w:val="21"/>
    </w:rPr>
  </w:style>
  <w:style w:type="character" w:customStyle="1" w:styleId="127">
    <w:name w:val="文档结构图 字符"/>
    <w:basedOn w:val="90"/>
    <w:link w:val="26"/>
    <w:qFormat/>
    <w:uiPriority w:val="0"/>
    <w:rPr>
      <w:rFonts w:ascii="Microsoft YaHei UI" w:eastAsia="Microsoft YaHei UI" w:hAnsiTheme="minorHAnsi" w:cstheme="minorBidi"/>
      <w:kern w:val="2"/>
      <w:sz w:val="18"/>
      <w:szCs w:val="18"/>
    </w:rPr>
  </w:style>
  <w:style w:type="paragraph" w:styleId="128">
    <w:name w:val="No Spacing"/>
    <w:qFormat/>
    <w:uiPriority w:val="99"/>
    <w:pPr>
      <w:widowControl w:val="0"/>
      <w:jc w:val="both"/>
    </w:pPr>
    <w:rPr>
      <w:rFonts w:eastAsia="宋体" w:asciiTheme="minorHAnsi" w:hAnsiTheme="minorHAnsi" w:cstheme="minorBidi"/>
      <w:kern w:val="2"/>
      <w:sz w:val="21"/>
      <w:szCs w:val="21"/>
      <w:lang w:val="en-US" w:eastAsia="zh-CN" w:bidi="ar-SA"/>
    </w:rPr>
  </w:style>
  <w:style w:type="character" w:customStyle="1" w:styleId="129">
    <w:name w:val="信息标题 字符"/>
    <w:basedOn w:val="90"/>
    <w:link w:val="79"/>
    <w:qFormat/>
    <w:uiPriority w:val="0"/>
    <w:rPr>
      <w:rFonts w:asciiTheme="majorHAnsi" w:hAnsiTheme="majorHAnsi" w:eastAsiaTheme="majorEastAsia" w:cstheme="majorBidi"/>
      <w:kern w:val="2"/>
      <w:sz w:val="24"/>
      <w:szCs w:val="24"/>
      <w:shd w:val="pct20" w:color="auto" w:fill="auto"/>
    </w:rPr>
  </w:style>
  <w:style w:type="paragraph" w:styleId="130">
    <w:name w:val="Quote"/>
    <w:basedOn w:val="1"/>
    <w:next w:val="1"/>
    <w:link w:val="131"/>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31">
    <w:name w:val="引用 字符"/>
    <w:basedOn w:val="90"/>
    <w:link w:val="130"/>
    <w:qFormat/>
    <w:uiPriority w:val="99"/>
    <w:rPr>
      <w:rFonts w:asciiTheme="minorHAnsi" w:hAnsiTheme="minorHAnsi" w:cstheme="minorBidi"/>
      <w:i/>
      <w:iCs/>
      <w:color w:val="404040" w:themeColor="text1" w:themeTint="BF"/>
      <w:kern w:val="2"/>
      <w:sz w:val="21"/>
      <w:szCs w:val="21"/>
      <w14:textFill>
        <w14:solidFill>
          <w14:schemeClr w14:val="tx1">
            <w14:lumMod w14:val="75000"/>
            <w14:lumOff w14:val="25000"/>
          </w14:schemeClr>
        </w14:solidFill>
      </w14:textFill>
    </w:rPr>
  </w:style>
  <w:style w:type="character" w:customStyle="1" w:styleId="132">
    <w:name w:val="正文文本 字符"/>
    <w:basedOn w:val="90"/>
    <w:link w:val="34"/>
    <w:qFormat/>
    <w:uiPriority w:val="0"/>
    <w:rPr>
      <w:rFonts w:asciiTheme="minorHAnsi" w:hAnsiTheme="minorHAnsi" w:cstheme="minorBidi"/>
      <w:kern w:val="2"/>
      <w:sz w:val="21"/>
      <w:szCs w:val="21"/>
    </w:rPr>
  </w:style>
  <w:style w:type="character" w:customStyle="1" w:styleId="133">
    <w:name w:val="正文首行缩进 字符"/>
    <w:basedOn w:val="132"/>
    <w:link w:val="86"/>
    <w:qFormat/>
    <w:uiPriority w:val="0"/>
    <w:rPr>
      <w:rFonts w:asciiTheme="minorHAnsi" w:hAnsiTheme="minorHAnsi" w:cstheme="minorBidi"/>
      <w:kern w:val="2"/>
      <w:sz w:val="21"/>
      <w:szCs w:val="21"/>
    </w:rPr>
  </w:style>
  <w:style w:type="character" w:customStyle="1" w:styleId="134">
    <w:name w:val="正文文本缩进 字符"/>
    <w:basedOn w:val="90"/>
    <w:link w:val="35"/>
    <w:qFormat/>
    <w:uiPriority w:val="0"/>
    <w:rPr>
      <w:rFonts w:asciiTheme="minorHAnsi" w:hAnsiTheme="minorHAnsi" w:cstheme="minorBidi"/>
      <w:kern w:val="2"/>
      <w:sz w:val="21"/>
      <w:szCs w:val="21"/>
    </w:rPr>
  </w:style>
  <w:style w:type="character" w:customStyle="1" w:styleId="135">
    <w:name w:val="正文首行缩进 2 字符"/>
    <w:basedOn w:val="134"/>
    <w:link w:val="87"/>
    <w:qFormat/>
    <w:uiPriority w:val="0"/>
    <w:rPr>
      <w:rFonts w:asciiTheme="minorHAnsi" w:hAnsiTheme="minorHAnsi" w:cstheme="minorBidi"/>
      <w:kern w:val="2"/>
      <w:sz w:val="21"/>
      <w:szCs w:val="21"/>
    </w:rPr>
  </w:style>
  <w:style w:type="character" w:customStyle="1" w:styleId="136">
    <w:name w:val="正文文本 2 字符"/>
    <w:basedOn w:val="90"/>
    <w:link w:val="76"/>
    <w:qFormat/>
    <w:uiPriority w:val="0"/>
    <w:rPr>
      <w:rFonts w:asciiTheme="minorHAnsi" w:hAnsiTheme="minorHAnsi" w:cstheme="minorBidi"/>
      <w:kern w:val="2"/>
      <w:sz w:val="21"/>
      <w:szCs w:val="21"/>
    </w:rPr>
  </w:style>
  <w:style w:type="character" w:customStyle="1" w:styleId="137">
    <w:name w:val="正文文本 3 字符"/>
    <w:basedOn w:val="90"/>
    <w:link w:val="31"/>
    <w:qFormat/>
    <w:uiPriority w:val="0"/>
    <w:rPr>
      <w:rFonts w:asciiTheme="minorHAnsi" w:hAnsiTheme="minorHAnsi" w:cstheme="minorBidi"/>
      <w:kern w:val="2"/>
      <w:sz w:val="16"/>
      <w:szCs w:val="16"/>
    </w:rPr>
  </w:style>
  <w:style w:type="character" w:customStyle="1" w:styleId="138">
    <w:name w:val="正文文本缩进 2 字符"/>
    <w:basedOn w:val="90"/>
    <w:link w:val="51"/>
    <w:qFormat/>
    <w:uiPriority w:val="0"/>
    <w:rPr>
      <w:rFonts w:asciiTheme="minorHAnsi" w:hAnsiTheme="minorHAnsi" w:cstheme="minorBidi"/>
      <w:kern w:val="2"/>
      <w:sz w:val="21"/>
      <w:szCs w:val="21"/>
    </w:rPr>
  </w:style>
  <w:style w:type="character" w:customStyle="1" w:styleId="139">
    <w:name w:val="正文文本缩进 3 字符"/>
    <w:basedOn w:val="90"/>
    <w:link w:val="70"/>
    <w:qFormat/>
    <w:uiPriority w:val="0"/>
    <w:rPr>
      <w:rFonts w:asciiTheme="minorHAnsi" w:hAnsiTheme="minorHAnsi" w:cstheme="minorBidi"/>
      <w:kern w:val="2"/>
      <w:sz w:val="16"/>
      <w:szCs w:val="16"/>
    </w:rPr>
  </w:style>
  <w:style w:type="character" w:customStyle="1" w:styleId="140">
    <w:name w:val="注释标题 字符"/>
    <w:basedOn w:val="90"/>
    <w:link w:val="16"/>
    <w:qFormat/>
    <w:uiPriority w:val="0"/>
    <w:rPr>
      <w:rFonts w:asciiTheme="minorHAnsi" w:hAnsiTheme="minorHAnsi"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62F3-7168-4816-BD3F-CA0CD344F37D}">
  <ds:schemaRefs/>
</ds:datastoreItem>
</file>

<file path=docProps/app.xml><?xml version="1.0" encoding="utf-8"?>
<Properties xmlns="http://schemas.openxmlformats.org/officeDocument/2006/extended-properties" xmlns:vt="http://schemas.openxmlformats.org/officeDocument/2006/docPropsVTypes">
  <Template>Normal</Template>
  <Pages>10</Pages>
  <Words>1699</Words>
  <Characters>9686</Characters>
  <Lines>80</Lines>
  <Paragraphs>22</Paragraphs>
  <TotalTime>0</TotalTime>
  <ScaleCrop>false</ScaleCrop>
  <LinksUpToDate>false</LinksUpToDate>
  <CharactersWithSpaces>11363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2023-06-08T02:23:00Z</cp:lastPrinted>
  <dcterms:modified xsi:type="dcterms:W3CDTF">2024-02-29T03:02:50Z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