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_Toc24503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_Toc12732 </w:instrText>
          </w:r>
          <w:r>
            <w:rPr>
              <w:bCs/>
            </w:rPr>
            <w:fldChar w:fldCharType="separate"/>
          </w:r>
          <w:r>
            <w:rPr>
              <w:rFonts w:hint="eastAsia" w:ascii="Times New Roman" w:hAnsi="Times New Roman" w:eastAsia="楷体"/>
              <w:szCs w:val="24"/>
            </w:rPr>
            <w:t>股指：多单持有</w:t>
          </w:r>
          <w:r>
            <w:rPr>
              <w:bCs/>
            </w:rPr>
            <w:fldChar w:fldCharType="end"/>
          </w:r>
        </w:p>
        <w:p>
          <w:pPr>
            <w:pStyle w:val="59"/>
            <w:tabs>
              <w:tab w:val="right" w:leader="dot" w:pos="8306"/>
            </w:tabs>
          </w:pPr>
          <w:r>
            <w:rPr>
              <w:bCs/>
            </w:rPr>
            <w:fldChar w:fldCharType="begin"/>
          </w:r>
          <w:r>
            <w:rPr>
              <w:bCs/>
            </w:rPr>
            <w:instrText xml:space="preserve"> HYPERLINK \l _Toc31924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_Toc11494 </w:instrText>
          </w:r>
          <w:r>
            <w:rPr>
              <w:bCs/>
            </w:rPr>
            <w:fldChar w:fldCharType="separate"/>
          </w:r>
          <w:r>
            <w:rPr>
              <w:rFonts w:hint="eastAsia" w:ascii="Times New Roman" w:hAnsi="Times New Roman" w:eastAsia="楷体"/>
              <w:szCs w:val="24"/>
            </w:rPr>
            <w:t>贵金属：美国第四季度GDP超预期，贵金属价格窄幅震荡</w:t>
          </w:r>
          <w:r>
            <w:rPr>
              <w:bCs/>
            </w:rPr>
            <w:fldChar w:fldCharType="end"/>
          </w:r>
        </w:p>
        <w:p>
          <w:pPr>
            <w:pStyle w:val="59"/>
            <w:tabs>
              <w:tab w:val="right" w:leader="dot" w:pos="8306"/>
            </w:tabs>
          </w:pPr>
          <w:r>
            <w:rPr>
              <w:bCs/>
            </w:rPr>
            <w:fldChar w:fldCharType="begin"/>
          </w:r>
          <w:r>
            <w:rPr>
              <w:bCs/>
            </w:rPr>
            <w:instrText xml:space="preserve"> HYPERLINK \l _Toc11377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_Toc29468 </w:instrText>
          </w:r>
          <w:r>
            <w:rPr>
              <w:bCs/>
            </w:rPr>
            <w:fldChar w:fldCharType="separate"/>
          </w:r>
          <w:r>
            <w:rPr>
              <w:rFonts w:hint="eastAsia" w:ascii="楷体" w:hAnsi="楷体" w:eastAsia="楷体"/>
              <w:szCs w:val="24"/>
            </w:rPr>
            <w:t>碳酸锂：现货价格持平，期价小幅下跌</w:t>
          </w:r>
          <w:r>
            <w:rPr>
              <w:bCs/>
            </w:rPr>
            <w:fldChar w:fldCharType="end"/>
          </w:r>
        </w:p>
        <w:p>
          <w:pPr>
            <w:pStyle w:val="74"/>
            <w:tabs>
              <w:tab w:val="right" w:leader="dot" w:pos="8306"/>
            </w:tabs>
          </w:pPr>
          <w:r>
            <w:rPr>
              <w:bCs/>
            </w:rPr>
            <w:fldChar w:fldCharType="begin"/>
          </w:r>
          <w:r>
            <w:rPr>
              <w:bCs/>
            </w:rPr>
            <w:instrText xml:space="preserve"> HYPERLINK \l _Toc11817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_Toc29446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_Toc6358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_Toc1760 </w:instrText>
          </w:r>
          <w:r>
            <w:rPr>
              <w:bCs/>
            </w:rPr>
            <w:fldChar w:fldCharType="separate"/>
          </w:r>
          <w:r>
            <w:rPr>
              <w:rFonts w:hint="eastAsia" w:ascii="楷体" w:hAnsi="楷体" w:eastAsia="楷体"/>
              <w:szCs w:val="24"/>
            </w:rPr>
            <w:t>铜：高位震荡运行，不建议追多</w:t>
          </w:r>
          <w:r>
            <w:rPr>
              <w:bCs/>
            </w:rPr>
            <w:fldChar w:fldCharType="end"/>
          </w:r>
        </w:p>
        <w:p>
          <w:pPr>
            <w:pStyle w:val="74"/>
            <w:tabs>
              <w:tab w:val="right" w:leader="dot" w:pos="8306"/>
            </w:tabs>
          </w:pPr>
          <w:r>
            <w:rPr>
              <w:bCs/>
            </w:rPr>
            <w:fldChar w:fldCharType="begin"/>
          </w:r>
          <w:r>
            <w:rPr>
              <w:bCs/>
            </w:rPr>
            <w:instrText xml:space="preserve"> HYPERLINK \l _Toc10307 </w:instrText>
          </w:r>
          <w:r>
            <w:rPr>
              <w:bCs/>
            </w:rPr>
            <w:fldChar w:fldCharType="separate"/>
          </w:r>
          <w:r>
            <w:rPr>
              <w:rFonts w:hint="eastAsia" w:ascii="楷体" w:hAnsi="楷体" w:eastAsia="楷体"/>
              <w:szCs w:val="24"/>
            </w:rPr>
            <w:t>铝：铝价反弹修复，支撑有限震荡为主</w:t>
          </w:r>
          <w:r>
            <w:rPr>
              <w:bCs/>
            </w:rPr>
            <w:fldChar w:fldCharType="end"/>
          </w:r>
        </w:p>
        <w:p>
          <w:pPr>
            <w:pStyle w:val="74"/>
            <w:tabs>
              <w:tab w:val="right" w:leader="dot" w:pos="8306"/>
            </w:tabs>
          </w:pPr>
          <w:r>
            <w:rPr>
              <w:bCs/>
            </w:rPr>
            <w:fldChar w:fldCharType="begin"/>
          </w:r>
          <w:r>
            <w:rPr>
              <w:bCs/>
            </w:rPr>
            <w:instrText xml:space="preserve"> HYPERLINK \l _Toc9153 </w:instrText>
          </w:r>
          <w:r>
            <w:rPr>
              <w:bCs/>
            </w:rPr>
            <w:fldChar w:fldCharType="separate"/>
          </w:r>
          <w:r>
            <w:rPr>
              <w:rFonts w:hint="eastAsia" w:ascii="楷体" w:hAnsi="楷体" w:eastAsia="楷体"/>
              <w:szCs w:val="24"/>
            </w:rPr>
            <w:t>锌：锌价偏强运行为主</w:t>
          </w:r>
          <w:r>
            <w:rPr>
              <w:bCs/>
            </w:rPr>
            <w:fldChar w:fldCharType="end"/>
          </w:r>
        </w:p>
        <w:p>
          <w:pPr>
            <w:pStyle w:val="74"/>
            <w:tabs>
              <w:tab w:val="right" w:leader="dot" w:pos="8306"/>
            </w:tabs>
          </w:pPr>
          <w:r>
            <w:rPr>
              <w:bCs/>
            </w:rPr>
            <w:fldChar w:fldCharType="begin"/>
          </w:r>
          <w:r>
            <w:rPr>
              <w:bCs/>
            </w:rPr>
            <w:instrText xml:space="preserve"> HYPERLINK \l _Toc27584 </w:instrText>
          </w:r>
          <w:r>
            <w:rPr>
              <w:bCs/>
            </w:rPr>
            <w:fldChar w:fldCharType="separate"/>
          </w:r>
          <w:r>
            <w:rPr>
              <w:rFonts w:hint="eastAsia" w:ascii="楷体" w:hAnsi="楷体" w:eastAsia="楷体"/>
              <w:szCs w:val="24"/>
            </w:rPr>
            <w:t>镍：底部支撑走强，但供应过剩格局持续压制</w:t>
          </w:r>
          <w:r>
            <w:rPr>
              <w:bCs/>
            </w:rPr>
            <w:fldChar w:fldCharType="end"/>
          </w:r>
        </w:p>
        <w:p>
          <w:pPr>
            <w:pStyle w:val="74"/>
            <w:tabs>
              <w:tab w:val="right" w:leader="dot" w:pos="8306"/>
            </w:tabs>
          </w:pPr>
          <w:r>
            <w:rPr>
              <w:bCs/>
            </w:rPr>
            <w:fldChar w:fldCharType="begin"/>
          </w:r>
          <w:r>
            <w:rPr>
              <w:bCs/>
            </w:rPr>
            <w:instrText xml:space="preserve"> HYPERLINK \l _Toc6152 </w:instrText>
          </w:r>
          <w:r>
            <w:rPr>
              <w:bCs/>
            </w:rPr>
            <w:fldChar w:fldCharType="separate"/>
          </w:r>
          <w:r>
            <w:rPr>
              <w:rFonts w:hint="eastAsia" w:ascii="楷体" w:hAnsi="楷体" w:eastAsia="楷体"/>
              <w:szCs w:val="24"/>
            </w:rPr>
            <w:t>不锈钢：RKAB影响持续，但现实供需趋弱</w:t>
          </w:r>
          <w:r>
            <w:rPr>
              <w:bCs/>
            </w:rPr>
            <w:fldChar w:fldCharType="end"/>
          </w:r>
        </w:p>
        <w:p>
          <w:pPr>
            <w:pStyle w:val="74"/>
            <w:tabs>
              <w:tab w:val="right" w:leader="dot" w:pos="8306"/>
            </w:tabs>
          </w:pPr>
          <w:r>
            <w:rPr>
              <w:bCs/>
            </w:rPr>
            <w:fldChar w:fldCharType="begin"/>
          </w:r>
          <w:r>
            <w:rPr>
              <w:bCs/>
            </w:rPr>
            <w:instrText xml:space="preserve"> HYPERLINK \l _Toc11092 </w:instrText>
          </w:r>
          <w:r>
            <w:rPr>
              <w:bCs/>
            </w:rPr>
            <w:fldChar w:fldCharType="separate"/>
          </w:r>
          <w:r>
            <w:rPr>
              <w:rFonts w:hint="eastAsia" w:ascii="楷体" w:hAnsi="楷体" w:eastAsia="楷体"/>
              <w:szCs w:val="24"/>
            </w:rPr>
            <w:t>工业硅：硅料市场反弹，需求悲观预期或有好转</w:t>
          </w:r>
          <w:r>
            <w:rPr>
              <w:bCs/>
            </w:rPr>
            <w:fldChar w:fldCharType="end"/>
          </w:r>
        </w:p>
        <w:p>
          <w:pPr>
            <w:pStyle w:val="59"/>
            <w:tabs>
              <w:tab w:val="right" w:leader="dot" w:pos="8306"/>
            </w:tabs>
          </w:pPr>
          <w:r>
            <w:rPr>
              <w:bCs/>
            </w:rPr>
            <w:fldChar w:fldCharType="begin"/>
          </w:r>
          <w:r>
            <w:rPr>
              <w:bCs/>
            </w:rPr>
            <w:instrText xml:space="preserve"> HYPERLINK \l _Toc31289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_Toc16287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成本端支撑较强 胶价或偏强震荡</w:t>
          </w:r>
          <w:r>
            <w:rPr>
              <w:bCs/>
            </w:rPr>
            <w:fldChar w:fldCharType="end"/>
          </w:r>
        </w:p>
        <w:p>
          <w:pPr>
            <w:pStyle w:val="74"/>
            <w:tabs>
              <w:tab w:val="right" w:leader="dot" w:pos="8306"/>
            </w:tabs>
          </w:pPr>
          <w:r>
            <w:rPr>
              <w:bCs/>
            </w:rPr>
            <w:fldChar w:fldCharType="begin"/>
          </w:r>
          <w:r>
            <w:rPr>
              <w:bCs/>
            </w:rPr>
            <w:instrText xml:space="preserve"> HYPERLINK \l _Toc13274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_Toc14806 </w:instrText>
          </w:r>
          <w:r>
            <w:rPr>
              <w:bCs/>
            </w:rPr>
            <w:fldChar w:fldCharType="separate"/>
          </w:r>
          <w:r>
            <w:rPr>
              <w:rFonts w:hint="eastAsia" w:ascii="楷体" w:hAnsi="楷体" w:eastAsia="楷体"/>
              <w:szCs w:val="24"/>
            </w:rPr>
            <w:t>聚烯烃：平衡表偏去库 短期聚烯烃下方空间有限</w:t>
          </w:r>
          <w:r>
            <w:rPr>
              <w:bCs/>
            </w:rPr>
            <w:fldChar w:fldCharType="end"/>
          </w:r>
        </w:p>
        <w:p>
          <w:pPr>
            <w:pStyle w:val="74"/>
            <w:tabs>
              <w:tab w:val="right" w:leader="dot" w:pos="8306"/>
            </w:tabs>
          </w:pPr>
          <w:r>
            <w:rPr>
              <w:bCs/>
            </w:rPr>
            <w:fldChar w:fldCharType="begin"/>
          </w:r>
          <w:r>
            <w:rPr>
              <w:bCs/>
            </w:rPr>
            <w:instrText xml:space="preserve"> HYPERLINK \l _Toc12295 </w:instrText>
          </w:r>
          <w:r>
            <w:rPr>
              <w:bCs/>
            </w:rPr>
            <w:fldChar w:fldCharType="separate"/>
          </w:r>
          <w:r>
            <w:rPr>
              <w:rFonts w:hint="eastAsia" w:ascii="楷体" w:hAnsi="楷体" w:eastAsia="楷体"/>
              <w:szCs w:val="24"/>
            </w:rPr>
            <w:t>MEG：超季节去库及下游补库 乙二醇仍偏多配</w:t>
          </w:r>
          <w:r>
            <w:rPr>
              <w:bCs/>
            </w:rPr>
            <w:fldChar w:fldCharType="end"/>
          </w:r>
        </w:p>
        <w:p>
          <w:pPr>
            <w:pStyle w:val="74"/>
            <w:tabs>
              <w:tab w:val="right" w:leader="dot" w:pos="8306"/>
            </w:tabs>
          </w:pPr>
          <w:r>
            <w:rPr>
              <w:bCs/>
            </w:rPr>
            <w:fldChar w:fldCharType="begin"/>
          </w:r>
          <w:r>
            <w:rPr>
              <w:bCs/>
            </w:rPr>
            <w:instrText xml:space="preserve"> HYPERLINK \l _Toc25718 </w:instrText>
          </w:r>
          <w:r>
            <w:rPr>
              <w:bCs/>
            </w:rPr>
            <w:fldChar w:fldCharType="separate"/>
          </w:r>
          <w:r>
            <w:rPr>
              <w:rFonts w:hint="eastAsia" w:ascii="楷体" w:hAnsi="楷体" w:eastAsia="楷体"/>
              <w:szCs w:val="24"/>
            </w:rPr>
            <w:t>玻璃：宏观预期驱动，保价策略托底</w:t>
          </w:r>
          <w:r>
            <w:rPr>
              <w:bCs/>
            </w:rPr>
            <w:fldChar w:fldCharType="end"/>
          </w:r>
        </w:p>
        <w:p>
          <w:pPr>
            <w:pStyle w:val="74"/>
            <w:tabs>
              <w:tab w:val="right" w:leader="dot" w:pos="8306"/>
            </w:tabs>
          </w:pPr>
          <w:r>
            <w:rPr>
              <w:bCs/>
            </w:rPr>
            <w:fldChar w:fldCharType="begin"/>
          </w:r>
          <w:r>
            <w:rPr>
              <w:bCs/>
            </w:rPr>
            <w:instrText xml:space="preserve"> HYPERLINK \l _Toc13271 </w:instrText>
          </w:r>
          <w:r>
            <w:rPr>
              <w:bCs/>
            </w:rPr>
            <w:fldChar w:fldCharType="separate"/>
          </w:r>
          <w:r>
            <w:rPr>
              <w:rFonts w:hint="eastAsia" w:ascii="楷体" w:hAnsi="楷体" w:eastAsia="楷体"/>
              <w:szCs w:val="24"/>
            </w:rPr>
            <w:t>纯碱：周内去库，但产能压力尚在</w:t>
          </w:r>
          <w:r>
            <w:rPr>
              <w:bCs/>
            </w:rPr>
            <w:fldChar w:fldCharType="end"/>
          </w:r>
        </w:p>
        <w:p>
          <w:pPr>
            <w:pStyle w:val="59"/>
            <w:tabs>
              <w:tab w:val="right" w:leader="dot" w:pos="8306"/>
            </w:tabs>
          </w:pPr>
          <w:r>
            <w:rPr>
              <w:bCs/>
            </w:rPr>
            <w:fldChar w:fldCharType="begin"/>
          </w:r>
          <w:r>
            <w:rPr>
              <w:bCs/>
            </w:rPr>
            <w:instrText xml:space="preserve"> HYPERLINK \l _Toc10906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_Toc22223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_Toc8998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_Toc1005 </w:instrText>
          </w:r>
          <w:r>
            <w:rPr>
              <w:bCs/>
            </w:rPr>
            <w:fldChar w:fldCharType="separate"/>
          </w:r>
          <w:r>
            <w:rPr>
              <w:rFonts w:hint="eastAsia" w:ascii="楷体" w:hAnsi="楷体" w:eastAsia="楷体"/>
              <w:bCs/>
            </w:rPr>
            <w:t>玉米与淀粉：</w:t>
          </w:r>
          <w:r>
            <w:rPr>
              <w:rFonts w:hint="eastAsia" w:ascii="楷体" w:hAnsi="楷体" w:eastAsia="楷体"/>
            </w:rPr>
            <w:t>期价震荡等待现货止跌</w:t>
          </w:r>
          <w:r>
            <w:rPr>
              <w:bCs/>
            </w:rPr>
            <w:fldChar w:fldCharType="end"/>
          </w:r>
        </w:p>
        <w:p>
          <w:pPr>
            <w:pStyle w:val="74"/>
            <w:tabs>
              <w:tab w:val="right" w:leader="dot" w:pos="8306"/>
            </w:tabs>
          </w:pPr>
          <w:r>
            <w:rPr>
              <w:bCs/>
            </w:rPr>
            <w:fldChar w:fldCharType="begin"/>
          </w:r>
          <w:r>
            <w:rPr>
              <w:bCs/>
            </w:rPr>
            <w:instrText xml:space="preserve"> HYPERLINK \l _Toc9762 </w:instrText>
          </w:r>
          <w:r>
            <w:rPr>
              <w:bCs/>
            </w:rPr>
            <w:fldChar w:fldCharType="separate"/>
          </w:r>
          <w:r>
            <w:rPr>
              <w:rFonts w:hint="eastAsia" w:ascii="楷体" w:hAnsi="楷体" w:eastAsia="楷体"/>
              <w:bCs/>
            </w:rPr>
            <w:t>畜禽养殖：生猪期价继续震荡偏强</w:t>
          </w:r>
          <w:r>
            <w:rPr>
              <w:bCs/>
            </w:rPr>
            <w:fldChar w:fldCharType="end"/>
          </w:r>
        </w:p>
        <w:p>
          <w:pPr>
            <w:pStyle w:val="59"/>
            <w:tabs>
              <w:tab w:val="right" w:leader="dot" w:pos="8306"/>
            </w:tabs>
          </w:pPr>
          <w:r>
            <w:rPr>
              <w:bCs/>
            </w:rPr>
            <w:fldChar w:fldCharType="begin"/>
          </w:r>
          <w:r>
            <w:rPr>
              <w:bCs/>
            </w:rPr>
            <w:instrText xml:space="preserve"> HYPERLINK \l _Toc28695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_Toc17903 </w:instrText>
          </w:r>
          <w:r>
            <w:rPr>
              <w:bCs/>
            </w:rPr>
            <w:fldChar w:fldCharType="separate"/>
          </w:r>
          <w:r>
            <w:rPr>
              <w:rFonts w:hint="eastAsia" w:ascii="Times New Roman" w:hAnsi="Times New Roman" w:eastAsia="楷体"/>
              <w:szCs w:val="24"/>
            </w:rPr>
            <w:t>集运指数（欧线）：期货市场继续维持震荡，静待SCFI数据指引</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4503"/>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2732"/>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多单持有</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政策发力下近几日市场V型反弹，资金抱团中特估概念拉升市场情绪，带来“年夜饭”行情。短期指数超跌反弹，但上方仍有抛压，且临近春节，市场流动性风险尚未完全出清，政策驱动的反弹有上限，不宜激进追涨，多单持有即可。</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31924"/>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11494"/>
      <w:r>
        <w:rPr>
          <w:rFonts w:hint="eastAsia" w:ascii="Times New Roman" w:hAnsi="Times New Roman" w:eastAsia="楷体"/>
          <w:b/>
          <w:color w:val="000000" w:themeColor="text1"/>
          <w:sz w:val="24"/>
          <w:szCs w:val="24"/>
          <w14:textFill>
            <w14:solidFill>
              <w14:schemeClr w14:val="tx1"/>
            </w14:solidFill>
          </w14:textFill>
        </w:rPr>
        <w:t>贵金属：美国第四季度GDP超预期，贵金属价格窄幅震荡</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涨0.22%至103.48，美十债收益率跌5.8bp至4.123%。沪金微跌0.01%，沪银涨0.29%。美国第四季度GDP折年率增3.3%，高于预期的2.0%，前值4.9%，数据公布后市场降息预期进一步降温。美国2023年第四季度核心PCE年化季率初值增2%，符合预期及三季度前值；PCE物价指数年化季率初值增1.7%，较第三季度终值的2.6%有所回落。欧洲央行将主要再融资利率、存款机制利率、边际贷款利率分别维持在4.5%、4%及4.75%不变，符合市场预期。欧洲央行行长拉加德表示，现在谈论降息为时过早，2023年四季度经济或停滞，预计2024年通胀进一步回落。今日晚间美国将公布12月PCE通胀数据，市场将基于最新经济数据表现调整降息预期，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1137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9468"/>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碳酸锂：现货价格持平，期价小幅下跌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小幅下跌，07合约收跌0.98%至101350元/吨。海外机构预测，锂、钴、镍、石墨等电池原料过剩或持续数年，相应原料价格或维持低位。12月国内锂盐进口量超预期，但考虑到南美出口量数据下滑，后续进口端供应量或有所回落。下游需求维持偏弱，生产企业开工偏低，春节期间供应存减量预期。持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11817"/>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29446"/>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6358"/>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1760"/>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高位震荡运行，不建议追多</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(1)库存：1月25日，SHFE仓单库存11756吨，减197吨；LME仓单库存155175吨，减2550吨。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(2)精废价差：1月25日，Mysteel精废价差1914，扩张428。目前价差在合理价差1388之上。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当前驱动铜价上涨主要源于国内超预期降准带来的需求预期重启，且铜矿供应偏紧及低库存提供支撑，短期价格重心上移后震荡运行。后期需要关注月底美联储FOMC会议及1月就业、通胀数据，预计降息试点预期的博弈仍将持续，大概率无法提供趋势力量，当前逐步接近估值上沿，不建议追多。</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美联储降息时点的预期博弈仍将持续，短期美元指数上下空间受限，难以对铜价形成持续性驱动，国内政策利好信号释放，市场信心回暖。基本面，国内冶炼端TC持续走低，矿端供应紧缩支撑价格，春节前下游仍有一定备货行为，国内库存累积但幅度暂不明显，预计短期铜价在宏观利多驱动下震荡偏强运行。</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10307"/>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铝价反弹修复，支撑有限震荡为主</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仍在博弈美联储降息，国内政策面积极情绪释放，俄铝再受制裁导致海外铝价走涨，国内自去年开始进口铝多为俄铝，预期后续进口铝锭向国内持续流入，基本面供应端维持稳定，下游较多企业订单表现不佳提前放假，需求节前疲软，但下游逢低补库导致库存低位，价格近期出现反弹但支撑动力不足，维持震荡走势。</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9153"/>
      <w:r>
        <w:rPr>
          <w:rFonts w:hint="eastAsia" w:ascii="楷体" w:hAnsi="楷体" w:eastAsia="楷体"/>
          <w:b/>
          <w:color w:val="000000" w:themeColor="text1"/>
          <w:sz w:val="24"/>
          <w:szCs w:val="24"/>
          <w14:textFill>
            <w14:solidFill>
              <w14:schemeClr w14:val="tx1"/>
            </w14:solidFill>
          </w14:textFill>
        </w:rPr>
        <w:t>锌：锌价偏强运行为主</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宏观情绪内外两端博弈，海外偏空，国内宏观持续释放积极信号，锌市供需双弱基本面未改，加工费偏弱运行，成本端对价格提供支撑，库存低位，下游企业年前逢低补库，锌价偏强运行。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7584"/>
      <w:r>
        <w:rPr>
          <w:rFonts w:hint="eastAsia" w:ascii="楷体" w:hAnsi="楷体" w:eastAsia="楷体"/>
          <w:b/>
          <w:color w:val="000000" w:themeColor="text1"/>
          <w:sz w:val="24"/>
          <w:szCs w:val="24"/>
          <w14:textFill>
            <w14:solidFill>
              <w14:schemeClr w14:val="tx1"/>
            </w14:solidFill>
          </w14:textFill>
        </w:rPr>
        <w:t>镍：底部支撑走强，但供应过剩格局持续压制</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央行将于2月5日下调存款准备金率0.5个百分点，市场情绪回暖。消息面，印尼镍矿RKAB审批延迟，存在镍矿供应担忧情绪，为镍价带来一定支撑。成本方面，近期MHP和镍铁价格企稳回升。基本面，受部分精炼镍到货，现货偏紧情况松动，下游需求未有起色。综合而言，宏观情绪边际好转、印尼镍矿RKAB审批延迟、原料价格上涨为镍价带来一定支撑，预计短期内镍价窄幅震荡偏强运行，但供应过剩格局并未根本改变，因此涨幅受限。</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6152"/>
      <w:r>
        <w:rPr>
          <w:rFonts w:hint="eastAsia" w:ascii="楷体" w:hAnsi="楷体" w:eastAsia="楷体"/>
          <w:b/>
          <w:color w:val="000000" w:themeColor="text1"/>
          <w:sz w:val="24"/>
          <w:szCs w:val="24"/>
          <w14:textFill>
            <w14:solidFill>
              <w14:schemeClr w14:val="tx1"/>
            </w14:solidFill>
          </w14:textFill>
        </w:rPr>
        <w:t>不锈钢：RKAB影响持续，但现实供需趋弱</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央行将于2月5日下调存款准备金率0.5个百分点，提振市场情绪。消息面，印尼镍矿RKAB审批延迟，存在镍矿供应担忧情绪，为期价带来一定支撑，后续继续关注RKAB审批进度。成本面，受情绪影响，近日镍铁价格上涨，不锈钢成本支撑有所走强。供需方面，社会库存小幅去库，市场炒作不锈钢年后看涨情绪，但与春节前夕供需双降的弱现实相背离。综合而言，降准消息提振宏观情绪，印尼镍矿RKAB审批延迟使得短期内镍矿资源偏紧，镍铁价格走强，社库下降，为不锈钢价提供支撑，但供需皆趋弱，不锈钢价继续反弹空间有限，关注14500压力位。</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1109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硅料市场反弹，需求悲观预期或有好转</w:t>
      </w:r>
      <w:bookmarkEnd w:id="32"/>
    </w:p>
    <w:p>
      <w:pPr>
        <w:ind w:left="630" w:leftChars="300"/>
        <w:rPr>
          <w:rFonts w:ascii="楷体" w:hAnsi="楷体" w:eastAsia="楷体"/>
          <w:sz w:val="24"/>
          <w:szCs w:val="24"/>
        </w:rPr>
      </w:pPr>
      <w:r>
        <w:rPr>
          <w:rFonts w:hint="eastAsia" w:ascii="楷体" w:hAnsi="楷体" w:eastAsia="楷体"/>
          <w:sz w:val="24"/>
          <w:szCs w:val="24"/>
        </w:rPr>
        <w:t>1月25日，Si2403主力合约呈震荡走势，收盘价13435元/吨，较上一收盘价涨跌幅+0.37%。当前下游硅片企业开工率整体维持高位水平，近期积极采购硅料进行节前备货，使得硅料出现反弹，目前该环节春节前备货尚未结束，对硅料保持较高需求，硅料价格有望维持偏强。反观工业硅，虽然下游节前备货已基本完成，由于多晶硅市场反弹，或将带动节后需求预期改善，预计市场进一步下跌空间有限，但弱现实也将压制反弹空间，预计短期盘面或震荡为主。策略上，建议维持波段操作，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31289"/>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16287"/>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成本端支撑较强 胶价或偏强震荡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预计短期天然橡胶仍维持偏强震荡。</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13274"/>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局势不稳定及供应端短线扰动，对盘面继续带来支撑。PX面临宣港及调油逻辑驱动，短线下行压力缓解。PTA方面，逸盛海南200万吨提负，中泰120万吨重启，恒力5线短停，百宏250万吨停车重启，目前暂未出产品，个别装置小幅调整负荷，至周四PTA装置负荷下降至80%，环比下降4%。本周聚酯装置检修开始密集执行，且大厂也出台了新的检修计划，综合负荷整体下滑。截至本周四，初步核算国内大陆地区聚酯负荷在84.6%（-4.8%）。后市来看，随着春节临近，聚酯减产预期增强，终端投机性补库需求不足，后市有需求季节性走弱预期。综合来看，PTA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14806"/>
      <w:r>
        <w:rPr>
          <w:rFonts w:hint="eastAsia" w:ascii="楷体" w:hAnsi="楷体" w:eastAsia="楷体"/>
          <w:b/>
          <w:color w:val="000000" w:themeColor="text1"/>
          <w:sz w:val="24"/>
          <w:szCs w:val="24"/>
          <w14:textFill>
            <w14:solidFill>
              <w14:schemeClr w14:val="tx1"/>
            </w14:solidFill>
          </w14:textFill>
        </w:rPr>
        <w:t>聚烯烃：平衡表偏去库 短期聚烯烃下方空间有限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美国强劲的经济增长和中国的刺激措施导致对石油需求预期上升，而石油供应面因美国冬季风暴导致原油库存下降而收紧，欧美原油期货涨至去年11月底以来的最高水平。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12295"/>
      <w:r>
        <w:rPr>
          <w:rFonts w:hint="eastAsia" w:ascii="楷体" w:hAnsi="楷体" w:eastAsia="楷体"/>
          <w:b/>
          <w:color w:val="000000" w:themeColor="text1"/>
          <w:sz w:val="24"/>
          <w:szCs w:val="24"/>
          <w14:textFill>
            <w14:solidFill>
              <w14:schemeClr w14:val="tx1"/>
            </w14:solidFill>
          </w14:textFill>
        </w:rPr>
        <w:t>MEG：超季节去库及下游补库 乙二醇仍偏多配</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华东主港地区MEG港口库存约93.2万吨附近，环比上期下降4万吨。随着后续到港减少，下周港口库存有望持续去化。截至1月25日，中国大陆地区乙二醇整体开工负荷在65.91%（+0.91%），其中草酸催化加氢法（合成气）制乙二醇开工负荷在63.26%（+2.45%）。 截至1月25日，国内大陆地区聚酯负荷在84.6%，节前聚酯开工高位回落。终端来看，江浙终端开工率下降加速。截止1.25 江浙加弹综合开工率46%(-25%)，江浙织机综合开工率34%(-26%），江浙印染综合开工率61%（-6%）。综合来看，期价大幅走高带动乙二醇利润快速修复，国内不少乙烯制乙二醇装置供应回归。榆林化学等存量装置开工率大幅提升或对冲外盘缩量，但乙二醇继续超季节去库，短期仍偏多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25718"/>
      <w:r>
        <w:rPr>
          <w:rFonts w:hint="eastAsia" w:ascii="楷体" w:hAnsi="楷体" w:eastAsia="楷体"/>
          <w:b/>
          <w:color w:val="000000" w:themeColor="text1"/>
          <w:sz w:val="24"/>
          <w:szCs w:val="24"/>
          <w14:textFill>
            <w14:solidFill>
              <w14:schemeClr w14:val="tx1"/>
            </w14:solidFill>
          </w14:textFill>
        </w:rPr>
        <w:t>玻璃：宏观预期驱动，保价策略托底</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25日报道:今日浮法玻璃现货价格2016元/吨，较上一交易日持平。宏观降息降准政策刺激下年后预期修复。供给上，全国浮法玻璃日产量为17.31万吨，环比持平。库存上，截止到20240125，全国浮法玻璃样本企业总库存3197.7万重箱，环比+39.2万重箱，环比+1.24%，同比-58.0，行业继续累库，但累库速度放缓;需求端，南方赶工临近尾声，华北节前以清库为主，保价促销，湖北华中地区同样出台保价策略，刺激中下游冬储备货。盘面经过前轮价格博弈之后，厂家、贸易商、深加工厂的库存都不高，加上厂家还有保价政策，库存向贸易商转移，向下的空间有限。短期矛盾并不突出，随宏观情绪波动。短线震荡行情，中长线建议等待反弹结束高空。</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13271"/>
      <w:r>
        <w:rPr>
          <w:rFonts w:hint="eastAsia" w:ascii="楷体" w:hAnsi="楷体" w:eastAsia="楷体"/>
          <w:b/>
          <w:color w:val="000000" w:themeColor="text1"/>
          <w:sz w:val="24"/>
          <w:szCs w:val="24"/>
          <w14:textFill>
            <w14:solidFill>
              <w14:schemeClr w14:val="tx1"/>
            </w14:solidFill>
          </w14:textFill>
        </w:rPr>
        <w:t>纯碱：周内去库，但产能压力尚在</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价格企稳反弹。西北青海地区重碱报价2200元/吨(环比+200元/吨):华北重碱最低价2350-2400元/吨(低价+50)。供给方面，截止到2024年1月25日，周内纯碱产量67.76万吨，跌幅2.89%，纯碱整体开工率87.04%，环比减少2.59%，青海部分企业和山东天气因素，导致开工及产量下降;库存上，本周国内纯碱厂家总库存40.62万吨，环比增下降3.19万吨，降幅7.28%，其中轻碱去库幅度较大，重碱累库。需求端短期碱厂联合封单挺价对轻碱下游的提货积极性有一定刺激作用，重碱保持刚需。现货价格经过一个月的下跌后进入震荡期，在库存较低的情况下或出现反复炒作的情况。操作上，短线春节前进入反弹节奏，宽幅震荡，但中长线供给压力尚在，可等待反弹结束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10906"/>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22223"/>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期现弱势难改，逢高空操作</w:t>
      </w:r>
      <w:bookmarkEnd w:id="42"/>
    </w:p>
    <w:p>
      <w:pPr>
        <w:ind w:left="630" w:leftChars="300"/>
        <w:rPr>
          <w:rFonts w:ascii="楷体" w:hAnsi="楷体" w:eastAsia="楷体"/>
          <w:sz w:val="24"/>
          <w:szCs w:val="24"/>
        </w:rPr>
      </w:pPr>
      <w:r>
        <w:rPr>
          <w:rFonts w:hint="eastAsia" w:ascii="楷体" w:hAnsi="楷体" w:eastAsia="楷体"/>
          <w:sz w:val="24"/>
          <w:szCs w:val="24"/>
        </w:rPr>
        <w:t>CBOT大豆价格止涨回落，因美国大豆出口销售数据低于预期，来自巴西的竞争激烈，截至2024年1月18日当周，美国2023/24年度大豆净销售量为560,900吨，比上周低了28%，低于市场预期的70到123万吨。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96.81万吨，当前沿海主流油厂豆粕现货报价下调至3380-3470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暂看3000支撑，菜粕跟随豆粕偏弱运行，供应压力下建议短线逢高偏空操作，05暂看2500支撑。</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8998"/>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1005"/>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期价震荡等待现货止跌</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近期中储粮增储政策落地，总体表现喜忧参半，其公布的收购价低于当时深加工企业收购价，众所周知，其收购质量标准高于市场，这使得其对市场价格几无支撑，甚至有加速下跌之嫌。但由于其收购后有可能降低当年市场供应，使得期价远月对近月升水扩大，这一期价结构有望刺激中下游入市做库存。在这种情况下，接下来需要继续关注市场供需博弈的边际变动，特别是余粮压力的释放，直观表现在产区现货上。综上所述，维持中性观点，建议投资者暂以观望为宜，待现货止跌后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再度走扩，主要源于两个方面，一方面是行业供需近期继续改善，另一方面则是现货基差支撑依然存在。接下来重点留意两个方面，其一是原料成本即玉米现货，包括华北-东北玉米价差走势；其二是副产品价格，因近期仔猪价格上涨，或带动饲料原料需求改善，且近期副产品有止跌企稳迹象。在这种情况下，我们维持中性观点，建议投资单边暂以观望为宜，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9762"/>
      <w:r>
        <w:rPr>
          <w:rFonts w:hint="eastAsia" w:ascii="楷体" w:hAnsi="楷体" w:eastAsia="楷体"/>
          <w:b/>
          <w:bCs/>
          <w:color w:val="000000" w:themeColor="text1"/>
          <w14:textFill>
            <w14:solidFill>
              <w14:schemeClr w14:val="tx1"/>
            </w14:solidFill>
          </w14:textFill>
        </w:rPr>
        <w:t>畜禽养殖：生猪期价继续震荡偏强</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综合来看，从大方向来看，我们维持谨慎看空观点，但春节前或存在短期季节性需求的支撑，期价或转为震荡反弹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28695"/>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17903"/>
      <w:r>
        <w:rPr>
          <w:rFonts w:hint="eastAsia" w:ascii="Times New Roman" w:hAnsi="Times New Roman" w:eastAsia="楷体"/>
          <w:b/>
          <w:color w:val="000000" w:themeColor="text1"/>
          <w:sz w:val="24"/>
          <w:szCs w:val="24"/>
          <w14:textFill>
            <w14:solidFill>
              <w14:schemeClr w14:val="tx1"/>
            </w14:solidFill>
          </w14:textFill>
        </w:rPr>
        <w:t>集运指数（欧线）：期货市场继续维持震荡，静待SCFI数据指引</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期货市场对地缘危机影响有所钝化。各大船公司多已决定长期绕行好望角，目前红海关注点演变为美国英国等军事力量与也门胡塞武装的冲突。因此目前对供应链造成的边际冲击的深度有限。需求方面，春节前出货潮在出口美国较欧洲明显，且中国工厂预期要春节后才陆续复工，欧洲线绕行船舶将在2月下旬陆续返回亚洲，对即期运价有所压制。另外，1月22日，欧盟各成员国外长在比利时布鲁塞尔举行会议。会议结束后，欧盟外交与安全政策高级代表何塞普·博雷利宣布：“各国已就启动军事行动以确保红海货船安全，达成原则性政治协议。”欧盟的行动将包括部署欧洲战舰和机载预警系统，以保护在红海地区航行的货船。</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红海事态若无进一步扩大外溢，运价将从情绪面回归至基本面，本日将公布SCFI数据，建议投资者谨慎进行区间交易。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2481108"/>
      <w:bookmarkStart w:id="49" w:name="_Toc98426751"/>
      <w:bookmarkStart w:id="50" w:name="_Toc19667"/>
      <w:bookmarkStart w:id="51" w:name="_Toc12779"/>
      <w:bookmarkStart w:id="52" w:name="_Toc71212556"/>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2024年1月26日星期五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19A2BBF"/>
    <w:rsid w:val="61DF02D0"/>
    <w:rsid w:val="62710E5F"/>
    <w:rsid w:val="63735B47"/>
    <w:rsid w:val="63FF1EA7"/>
    <w:rsid w:val="64C32497"/>
    <w:rsid w:val="66C861F9"/>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ABE4B56"/>
    <w:rsid w:val="7B264F79"/>
    <w:rsid w:val="7B3E5659"/>
    <w:rsid w:val="7BCC4162"/>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2024-01-26T02:38:11Z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