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072E13"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072E13" w:rsidRPr="009168FF">
            <w:rPr>
              <w:rStyle w:val="a9"/>
              <w:noProof/>
            </w:rPr>
            <w:fldChar w:fldCharType="begin"/>
          </w:r>
          <w:r w:rsidR="00072E13" w:rsidRPr="009168FF">
            <w:rPr>
              <w:rStyle w:val="a9"/>
              <w:noProof/>
            </w:rPr>
            <w:instrText xml:space="preserve"> </w:instrText>
          </w:r>
          <w:r w:rsidR="00072E13">
            <w:rPr>
              <w:noProof/>
            </w:rPr>
            <w:instrText>HYPERLINK \l "_Toc153789741"</w:instrText>
          </w:r>
          <w:r w:rsidR="00072E13" w:rsidRPr="009168FF">
            <w:rPr>
              <w:rStyle w:val="a9"/>
              <w:noProof/>
            </w:rPr>
            <w:instrText xml:space="preserve"> </w:instrText>
          </w:r>
          <w:r w:rsidR="00072E13" w:rsidRPr="009168FF">
            <w:rPr>
              <w:rStyle w:val="a9"/>
              <w:noProof/>
            </w:rPr>
          </w:r>
          <w:r w:rsidR="00072E13" w:rsidRPr="009168FF">
            <w:rPr>
              <w:rStyle w:val="a9"/>
              <w:noProof/>
            </w:rPr>
            <w:fldChar w:fldCharType="separate"/>
          </w:r>
          <w:r w:rsidR="00072E13" w:rsidRPr="009168FF">
            <w:rPr>
              <w:rStyle w:val="a9"/>
              <w:rFonts w:ascii="Times New Roman" w:eastAsia="楷体" w:hAnsi="Times New Roman"/>
              <w:b/>
              <w:noProof/>
            </w:rPr>
            <w:t>[</w:t>
          </w:r>
          <w:r w:rsidR="00072E13" w:rsidRPr="009168FF">
            <w:rPr>
              <w:rStyle w:val="a9"/>
              <w:rFonts w:ascii="Times New Roman" w:eastAsia="楷体" w:hAnsi="Times New Roman"/>
              <w:b/>
              <w:noProof/>
            </w:rPr>
            <w:t>金融</w:t>
          </w:r>
          <w:r w:rsidR="00072E13" w:rsidRPr="009168FF">
            <w:rPr>
              <w:rStyle w:val="a9"/>
              <w:rFonts w:ascii="Times New Roman" w:eastAsia="楷体" w:hAnsi="Times New Roman"/>
              <w:b/>
              <w:noProof/>
            </w:rPr>
            <w:t>]</w:t>
          </w:r>
          <w:r w:rsidR="00072E13" w:rsidRPr="009168FF">
            <w:rPr>
              <w:rStyle w:val="a9"/>
              <w:noProof/>
            </w:rPr>
            <w:fldChar w:fldCharType="end"/>
          </w:r>
        </w:p>
        <w:p w:rsidR="00072E13" w:rsidRDefault="00072E13">
          <w:pPr>
            <w:pStyle w:val="23"/>
            <w:tabs>
              <w:tab w:val="right" w:leader="dot" w:pos="8296"/>
            </w:tabs>
            <w:rPr>
              <w:rFonts w:eastAsiaTheme="minorEastAsia"/>
              <w:noProof/>
              <w:szCs w:val="22"/>
            </w:rPr>
          </w:pPr>
          <w:hyperlink w:anchor="_Toc153789742" w:history="1">
            <w:r w:rsidRPr="009168FF">
              <w:rPr>
                <w:rStyle w:val="a9"/>
                <w:rFonts w:ascii="Times New Roman" w:eastAsia="楷体" w:hAnsi="Times New Roman"/>
                <w:b/>
                <w:noProof/>
              </w:rPr>
              <w:t>股指：波段操作，低吸</w:t>
            </w:r>
            <w:r w:rsidRPr="009168FF">
              <w:rPr>
                <w:rStyle w:val="a9"/>
                <w:rFonts w:ascii="Times New Roman" w:eastAsia="楷体" w:hAnsi="Times New Roman"/>
                <w:b/>
                <w:noProof/>
              </w:rPr>
              <w:t>IM</w:t>
            </w:r>
            <w:r w:rsidRPr="009168FF">
              <w:rPr>
                <w:rStyle w:val="a9"/>
                <w:rFonts w:ascii="Times New Roman" w:eastAsia="楷体" w:hAnsi="Times New Roman"/>
                <w:b/>
                <w:noProof/>
              </w:rPr>
              <w:t>多单</w:t>
            </w:r>
          </w:hyperlink>
        </w:p>
        <w:p w:rsidR="00072E13" w:rsidRDefault="00072E13">
          <w:pPr>
            <w:pStyle w:val="11"/>
            <w:tabs>
              <w:tab w:val="right" w:leader="dot" w:pos="8296"/>
            </w:tabs>
            <w:rPr>
              <w:rFonts w:eastAsiaTheme="minorEastAsia"/>
              <w:noProof/>
              <w:szCs w:val="22"/>
            </w:rPr>
          </w:pPr>
          <w:hyperlink w:anchor="_Toc153789743" w:history="1">
            <w:r w:rsidRPr="009168FF">
              <w:rPr>
                <w:rStyle w:val="a9"/>
                <w:rFonts w:ascii="Times New Roman" w:eastAsia="楷体" w:hAnsi="Times New Roman"/>
                <w:b/>
                <w:noProof/>
              </w:rPr>
              <w:t>[</w:t>
            </w:r>
            <w:r w:rsidRPr="009168FF">
              <w:rPr>
                <w:rStyle w:val="a9"/>
                <w:rFonts w:ascii="Times New Roman" w:eastAsia="楷体" w:hAnsi="Times New Roman"/>
                <w:b/>
                <w:noProof/>
              </w:rPr>
              <w:t>贵金属</w:t>
            </w:r>
            <w:r w:rsidRPr="009168FF">
              <w:rPr>
                <w:rStyle w:val="a9"/>
                <w:rFonts w:ascii="Times New Roman" w:eastAsia="楷体" w:hAnsi="Times New Roman"/>
                <w:b/>
                <w:noProof/>
              </w:rPr>
              <w:t>]</w:t>
            </w:r>
          </w:hyperlink>
        </w:p>
        <w:p w:rsidR="00072E13" w:rsidRDefault="00072E13">
          <w:pPr>
            <w:pStyle w:val="23"/>
            <w:tabs>
              <w:tab w:val="right" w:leader="dot" w:pos="8296"/>
            </w:tabs>
            <w:rPr>
              <w:rFonts w:eastAsiaTheme="minorEastAsia"/>
              <w:noProof/>
              <w:szCs w:val="22"/>
            </w:rPr>
          </w:pPr>
          <w:hyperlink w:anchor="_Toc153789744" w:history="1">
            <w:r w:rsidRPr="009168FF">
              <w:rPr>
                <w:rStyle w:val="a9"/>
                <w:rFonts w:ascii="Times New Roman" w:eastAsia="楷体" w:hAnsi="Times New Roman"/>
                <w:b/>
                <w:noProof/>
              </w:rPr>
              <w:t>贵金属：降息预期略微降温，贵金属价格小幅下跌</w:t>
            </w:r>
          </w:hyperlink>
        </w:p>
        <w:p w:rsidR="00072E13" w:rsidRDefault="00072E13">
          <w:pPr>
            <w:pStyle w:val="11"/>
            <w:tabs>
              <w:tab w:val="right" w:leader="dot" w:pos="8296"/>
            </w:tabs>
            <w:rPr>
              <w:rFonts w:eastAsiaTheme="minorEastAsia"/>
              <w:noProof/>
              <w:szCs w:val="22"/>
            </w:rPr>
          </w:pPr>
          <w:hyperlink w:anchor="_Toc153789745" w:history="1">
            <w:r w:rsidRPr="009168FF">
              <w:rPr>
                <w:rStyle w:val="a9"/>
                <w:rFonts w:ascii="Times New Roman" w:eastAsia="楷体" w:hAnsi="Times New Roman"/>
                <w:b/>
                <w:noProof/>
              </w:rPr>
              <w:t>[</w:t>
            </w:r>
            <w:r w:rsidRPr="009168FF">
              <w:rPr>
                <w:rStyle w:val="a9"/>
                <w:rFonts w:ascii="Times New Roman" w:eastAsia="楷体" w:hAnsi="Times New Roman"/>
                <w:b/>
                <w:noProof/>
              </w:rPr>
              <w:t>金属</w:t>
            </w:r>
            <w:r w:rsidRPr="009168FF">
              <w:rPr>
                <w:rStyle w:val="a9"/>
                <w:rFonts w:ascii="Times New Roman" w:eastAsia="楷体" w:hAnsi="Times New Roman"/>
                <w:b/>
                <w:noProof/>
              </w:rPr>
              <w:t>]</w:t>
            </w:r>
          </w:hyperlink>
        </w:p>
        <w:p w:rsidR="00072E13" w:rsidRDefault="00072E13">
          <w:pPr>
            <w:pStyle w:val="23"/>
            <w:tabs>
              <w:tab w:val="right" w:leader="dot" w:pos="8296"/>
            </w:tabs>
            <w:rPr>
              <w:rFonts w:eastAsiaTheme="minorEastAsia"/>
              <w:noProof/>
              <w:szCs w:val="22"/>
            </w:rPr>
          </w:pPr>
          <w:hyperlink w:anchor="_Toc153789746" w:history="1">
            <w:r w:rsidRPr="009168FF">
              <w:rPr>
                <w:rStyle w:val="a9"/>
                <w:rFonts w:ascii="楷体" w:eastAsia="楷体" w:hAnsi="楷体"/>
                <w:b/>
                <w:noProof/>
              </w:rPr>
              <w:t>碳酸锂：广期所增设厂库保障交割资源，资金博弈下期价波动加剧</w:t>
            </w:r>
          </w:hyperlink>
        </w:p>
        <w:p w:rsidR="00072E13" w:rsidRDefault="00072E13">
          <w:pPr>
            <w:pStyle w:val="23"/>
            <w:tabs>
              <w:tab w:val="right" w:leader="dot" w:pos="8296"/>
            </w:tabs>
            <w:rPr>
              <w:rFonts w:eastAsiaTheme="minorEastAsia"/>
              <w:noProof/>
              <w:szCs w:val="22"/>
            </w:rPr>
          </w:pPr>
          <w:hyperlink w:anchor="_Toc153789747" w:history="1">
            <w:r w:rsidRPr="009168FF">
              <w:rPr>
                <w:rStyle w:val="a9"/>
                <w:rFonts w:ascii="楷体" w:eastAsia="楷体" w:hAnsi="楷体"/>
                <w:b/>
                <w:noProof/>
              </w:rPr>
              <w:t>螺纹钢：短期继续偏弱调整，等待企稳</w:t>
            </w:r>
          </w:hyperlink>
        </w:p>
        <w:p w:rsidR="00072E13" w:rsidRDefault="00072E13">
          <w:pPr>
            <w:pStyle w:val="23"/>
            <w:tabs>
              <w:tab w:val="right" w:leader="dot" w:pos="8296"/>
            </w:tabs>
            <w:rPr>
              <w:rFonts w:eastAsiaTheme="minorEastAsia"/>
              <w:noProof/>
              <w:szCs w:val="22"/>
            </w:rPr>
          </w:pPr>
          <w:hyperlink w:anchor="_Toc153789748" w:history="1">
            <w:r w:rsidRPr="009168FF">
              <w:rPr>
                <w:rStyle w:val="a9"/>
                <w:rFonts w:ascii="楷体" w:eastAsia="楷体" w:hAnsi="楷体"/>
                <w:b/>
                <w:noProof/>
              </w:rPr>
              <w:t>焦炭：成本中枢下移，焦炭偏弱运行</w:t>
            </w:r>
          </w:hyperlink>
        </w:p>
        <w:p w:rsidR="00072E13" w:rsidRDefault="00072E13">
          <w:pPr>
            <w:pStyle w:val="23"/>
            <w:tabs>
              <w:tab w:val="right" w:leader="dot" w:pos="8296"/>
            </w:tabs>
            <w:rPr>
              <w:rFonts w:eastAsiaTheme="minorEastAsia"/>
              <w:noProof/>
              <w:szCs w:val="22"/>
            </w:rPr>
          </w:pPr>
          <w:hyperlink w:anchor="_Toc153789749" w:history="1">
            <w:r w:rsidRPr="009168FF">
              <w:rPr>
                <w:rStyle w:val="a9"/>
                <w:rFonts w:ascii="楷体" w:eastAsia="楷体" w:hAnsi="楷体"/>
                <w:b/>
                <w:noProof/>
              </w:rPr>
              <w:t>焦煤：继续补库动力不足，煤价震荡向下</w:t>
            </w:r>
          </w:hyperlink>
        </w:p>
        <w:p w:rsidR="00072E13" w:rsidRDefault="00072E13">
          <w:pPr>
            <w:pStyle w:val="23"/>
            <w:tabs>
              <w:tab w:val="right" w:leader="dot" w:pos="8296"/>
            </w:tabs>
            <w:rPr>
              <w:rFonts w:eastAsiaTheme="minorEastAsia"/>
              <w:noProof/>
              <w:szCs w:val="22"/>
            </w:rPr>
          </w:pPr>
          <w:hyperlink w:anchor="_Toc153789750" w:history="1">
            <w:r w:rsidRPr="009168FF">
              <w:rPr>
                <w:rStyle w:val="a9"/>
                <w:rFonts w:ascii="楷体" w:eastAsia="楷体" w:hAnsi="楷体"/>
                <w:b/>
                <w:noProof/>
              </w:rPr>
              <w:t>铜：维持高位运行</w:t>
            </w:r>
          </w:hyperlink>
        </w:p>
        <w:p w:rsidR="00072E13" w:rsidRDefault="00072E13">
          <w:pPr>
            <w:pStyle w:val="23"/>
            <w:tabs>
              <w:tab w:val="right" w:leader="dot" w:pos="8296"/>
            </w:tabs>
            <w:rPr>
              <w:rFonts w:eastAsiaTheme="minorEastAsia"/>
              <w:noProof/>
              <w:szCs w:val="22"/>
            </w:rPr>
          </w:pPr>
          <w:hyperlink w:anchor="_Toc153789751" w:history="1">
            <w:r w:rsidRPr="009168FF">
              <w:rPr>
                <w:rStyle w:val="a9"/>
                <w:rFonts w:ascii="楷体" w:eastAsia="楷体" w:hAnsi="楷体"/>
                <w:b/>
                <w:noProof/>
              </w:rPr>
              <w:t>铝：宏观利多叠加低库存支撑铝价偏强运行</w:t>
            </w:r>
          </w:hyperlink>
        </w:p>
        <w:p w:rsidR="00072E13" w:rsidRDefault="00072E13">
          <w:pPr>
            <w:pStyle w:val="23"/>
            <w:tabs>
              <w:tab w:val="right" w:leader="dot" w:pos="8296"/>
            </w:tabs>
            <w:rPr>
              <w:rFonts w:eastAsiaTheme="minorEastAsia"/>
              <w:noProof/>
              <w:szCs w:val="22"/>
            </w:rPr>
          </w:pPr>
          <w:hyperlink w:anchor="_Toc153789752" w:history="1">
            <w:r w:rsidRPr="009168FF">
              <w:rPr>
                <w:rStyle w:val="a9"/>
                <w:rFonts w:ascii="楷体" w:eastAsia="楷体" w:hAnsi="楷体"/>
                <w:b/>
                <w:noProof/>
              </w:rPr>
              <w:t>锌：低库存及成本支撑锌价</w:t>
            </w:r>
          </w:hyperlink>
        </w:p>
        <w:p w:rsidR="00072E13" w:rsidRDefault="00072E13">
          <w:pPr>
            <w:pStyle w:val="23"/>
            <w:tabs>
              <w:tab w:val="right" w:leader="dot" w:pos="8296"/>
            </w:tabs>
            <w:rPr>
              <w:rFonts w:eastAsiaTheme="minorEastAsia"/>
              <w:noProof/>
              <w:szCs w:val="22"/>
            </w:rPr>
          </w:pPr>
          <w:hyperlink w:anchor="_Toc153789753" w:history="1">
            <w:r w:rsidRPr="009168FF">
              <w:rPr>
                <w:rStyle w:val="a9"/>
                <w:rFonts w:ascii="楷体" w:eastAsia="楷体" w:hAnsi="楷体"/>
                <w:b/>
                <w:noProof/>
              </w:rPr>
              <w:t>镍：暖风袭来，但基本面弱势仍存</w:t>
            </w:r>
          </w:hyperlink>
        </w:p>
        <w:p w:rsidR="00072E13" w:rsidRDefault="00072E13">
          <w:pPr>
            <w:pStyle w:val="23"/>
            <w:tabs>
              <w:tab w:val="right" w:leader="dot" w:pos="8296"/>
            </w:tabs>
            <w:rPr>
              <w:rFonts w:eastAsiaTheme="minorEastAsia"/>
              <w:noProof/>
              <w:szCs w:val="22"/>
            </w:rPr>
          </w:pPr>
          <w:hyperlink w:anchor="_Toc153789754" w:history="1">
            <w:r w:rsidRPr="009168FF">
              <w:rPr>
                <w:rStyle w:val="a9"/>
                <w:rFonts w:ascii="楷体" w:eastAsia="楷体" w:hAnsi="楷体"/>
                <w:b/>
                <w:noProof/>
              </w:rPr>
              <w:t>铅：铝价上方压力仍存</w:t>
            </w:r>
          </w:hyperlink>
        </w:p>
        <w:p w:rsidR="00072E13" w:rsidRDefault="00072E13">
          <w:pPr>
            <w:pStyle w:val="23"/>
            <w:tabs>
              <w:tab w:val="right" w:leader="dot" w:pos="8296"/>
            </w:tabs>
            <w:rPr>
              <w:rFonts w:eastAsiaTheme="minorEastAsia"/>
              <w:noProof/>
              <w:szCs w:val="22"/>
            </w:rPr>
          </w:pPr>
          <w:hyperlink w:anchor="_Toc153789755" w:history="1">
            <w:r w:rsidRPr="009168FF">
              <w:rPr>
                <w:rStyle w:val="a9"/>
                <w:rFonts w:ascii="楷体" w:eastAsia="楷体" w:hAnsi="楷体"/>
                <w:b/>
                <w:noProof/>
              </w:rPr>
              <w:t>不锈钢：暂无明显上行驱动，或窄幅震荡偏强</w:t>
            </w:r>
          </w:hyperlink>
        </w:p>
        <w:p w:rsidR="00072E13" w:rsidRDefault="00072E13">
          <w:pPr>
            <w:pStyle w:val="23"/>
            <w:tabs>
              <w:tab w:val="right" w:leader="dot" w:pos="8296"/>
            </w:tabs>
            <w:rPr>
              <w:rFonts w:eastAsiaTheme="minorEastAsia"/>
              <w:noProof/>
              <w:szCs w:val="22"/>
            </w:rPr>
          </w:pPr>
          <w:hyperlink w:anchor="_Toc153789756" w:history="1">
            <w:r w:rsidRPr="009168FF">
              <w:rPr>
                <w:rStyle w:val="a9"/>
                <w:rFonts w:ascii="楷体" w:eastAsia="楷体" w:hAnsi="楷体"/>
                <w:b/>
                <w:noProof/>
              </w:rPr>
              <w:t>工业硅：西南维持季节性减产，短期或震荡为主</w:t>
            </w:r>
          </w:hyperlink>
        </w:p>
        <w:p w:rsidR="00072E13" w:rsidRDefault="00072E13">
          <w:pPr>
            <w:pStyle w:val="11"/>
            <w:tabs>
              <w:tab w:val="right" w:leader="dot" w:pos="8296"/>
            </w:tabs>
            <w:rPr>
              <w:rFonts w:eastAsiaTheme="minorEastAsia"/>
              <w:noProof/>
              <w:szCs w:val="22"/>
            </w:rPr>
          </w:pPr>
          <w:hyperlink w:anchor="_Toc153789757" w:history="1">
            <w:r w:rsidRPr="009168FF">
              <w:rPr>
                <w:rStyle w:val="a9"/>
                <w:rFonts w:ascii="Times New Roman" w:eastAsia="楷体" w:hAnsi="Times New Roman"/>
                <w:b/>
                <w:noProof/>
              </w:rPr>
              <w:t>[</w:t>
            </w:r>
            <w:r w:rsidRPr="009168FF">
              <w:rPr>
                <w:rStyle w:val="a9"/>
                <w:rFonts w:ascii="Times New Roman" w:eastAsia="楷体" w:hAnsi="Times New Roman"/>
                <w:b/>
                <w:noProof/>
              </w:rPr>
              <w:t>化工</w:t>
            </w:r>
            <w:r w:rsidRPr="009168FF">
              <w:rPr>
                <w:rStyle w:val="a9"/>
                <w:rFonts w:ascii="Times New Roman" w:eastAsia="楷体" w:hAnsi="Times New Roman"/>
                <w:b/>
                <w:noProof/>
              </w:rPr>
              <w:t>]</w:t>
            </w:r>
          </w:hyperlink>
        </w:p>
        <w:p w:rsidR="00072E13" w:rsidRDefault="00072E13">
          <w:pPr>
            <w:pStyle w:val="23"/>
            <w:tabs>
              <w:tab w:val="right" w:leader="dot" w:pos="8296"/>
            </w:tabs>
            <w:rPr>
              <w:rFonts w:eastAsiaTheme="minorEastAsia"/>
              <w:noProof/>
              <w:szCs w:val="22"/>
            </w:rPr>
          </w:pPr>
          <w:hyperlink w:anchor="_Toc153789758" w:history="1">
            <w:r w:rsidRPr="009168FF">
              <w:rPr>
                <w:rStyle w:val="a9"/>
                <w:rFonts w:ascii="Times New Roman" w:eastAsia="楷体" w:hAnsi="Times New Roman"/>
                <w:b/>
                <w:noProof/>
              </w:rPr>
              <w:t>天然橡胶</w:t>
            </w:r>
            <w:r w:rsidRPr="009168FF">
              <w:rPr>
                <w:rStyle w:val="a9"/>
                <w:rFonts w:ascii="Times New Roman" w:eastAsia="楷体" w:hAnsi="Times New Roman"/>
                <w:b/>
                <w:noProof/>
              </w:rPr>
              <w:t>:</w:t>
            </w:r>
            <w:r w:rsidRPr="009168FF">
              <w:rPr>
                <w:rStyle w:val="a9"/>
                <w:rFonts w:ascii="楷体" w:eastAsia="楷体" w:hAnsi="楷体"/>
                <w:b/>
                <w:noProof/>
              </w:rPr>
              <w:t xml:space="preserve"> 东南亚主产区逐渐上量 天然橡胶仍有下行风险</w:t>
            </w:r>
          </w:hyperlink>
        </w:p>
        <w:p w:rsidR="00072E13" w:rsidRDefault="00072E13">
          <w:pPr>
            <w:pStyle w:val="23"/>
            <w:tabs>
              <w:tab w:val="right" w:leader="dot" w:pos="8296"/>
            </w:tabs>
            <w:rPr>
              <w:rFonts w:eastAsiaTheme="minorEastAsia"/>
              <w:noProof/>
              <w:szCs w:val="22"/>
            </w:rPr>
          </w:pPr>
          <w:hyperlink w:anchor="_Toc153789759" w:history="1">
            <w:r w:rsidRPr="009168FF">
              <w:rPr>
                <w:rStyle w:val="a9"/>
                <w:rFonts w:ascii="楷体" w:eastAsia="楷体" w:hAnsi="楷体"/>
                <w:b/>
                <w:noProof/>
              </w:rPr>
              <w:t>PTA：</w:t>
            </w:r>
            <w:r w:rsidRPr="009168FF">
              <w:rPr>
                <w:rStyle w:val="a9"/>
                <w:rFonts w:ascii="Calibri" w:eastAsia="楷体" w:hAnsi="Calibri" w:cs="Calibri"/>
                <w:b/>
                <w:noProof/>
              </w:rPr>
              <w:t>短线跟随成本端波动</w:t>
            </w:r>
          </w:hyperlink>
        </w:p>
        <w:p w:rsidR="00072E13" w:rsidRDefault="00072E13">
          <w:pPr>
            <w:pStyle w:val="23"/>
            <w:tabs>
              <w:tab w:val="right" w:leader="dot" w:pos="8296"/>
            </w:tabs>
            <w:rPr>
              <w:rFonts w:eastAsiaTheme="minorEastAsia"/>
              <w:noProof/>
              <w:szCs w:val="22"/>
            </w:rPr>
          </w:pPr>
          <w:hyperlink w:anchor="_Toc153789760" w:history="1">
            <w:r w:rsidRPr="009168FF">
              <w:rPr>
                <w:rStyle w:val="a9"/>
                <w:rFonts w:ascii="楷体" w:eastAsia="楷体" w:hAnsi="楷体"/>
                <w:b/>
                <w:noProof/>
              </w:rPr>
              <w:t>聚烯烃：下游有进一步走弱的预期 聚烯烃维持低位震荡</w:t>
            </w:r>
          </w:hyperlink>
        </w:p>
        <w:p w:rsidR="00072E13" w:rsidRDefault="00072E13">
          <w:pPr>
            <w:pStyle w:val="23"/>
            <w:tabs>
              <w:tab w:val="right" w:leader="dot" w:pos="8296"/>
            </w:tabs>
            <w:rPr>
              <w:rFonts w:eastAsiaTheme="minorEastAsia"/>
              <w:noProof/>
              <w:szCs w:val="22"/>
            </w:rPr>
          </w:pPr>
          <w:hyperlink w:anchor="_Toc153789761" w:history="1">
            <w:r w:rsidRPr="009168FF">
              <w:rPr>
                <w:rStyle w:val="a9"/>
                <w:rFonts w:ascii="楷体" w:eastAsia="楷体" w:hAnsi="楷体"/>
                <w:b/>
                <w:noProof/>
              </w:rPr>
              <w:t>MEG：供需格局转好 乙二醇短期震荡偏强</w:t>
            </w:r>
          </w:hyperlink>
        </w:p>
        <w:p w:rsidR="00072E13" w:rsidRDefault="00072E13">
          <w:pPr>
            <w:pStyle w:val="23"/>
            <w:tabs>
              <w:tab w:val="right" w:leader="dot" w:pos="8296"/>
            </w:tabs>
            <w:rPr>
              <w:rFonts w:eastAsiaTheme="minorEastAsia"/>
              <w:noProof/>
              <w:szCs w:val="22"/>
            </w:rPr>
          </w:pPr>
          <w:hyperlink w:anchor="_Toc153789762" w:history="1">
            <w:r w:rsidRPr="009168FF">
              <w:rPr>
                <w:rStyle w:val="a9"/>
                <w:rFonts w:ascii="楷体" w:eastAsia="楷体" w:hAnsi="楷体"/>
                <w:b/>
                <w:noProof/>
              </w:rPr>
              <w:t>玻璃：产销快速走弱，期价承压</w:t>
            </w:r>
          </w:hyperlink>
        </w:p>
        <w:p w:rsidR="00072E13" w:rsidRDefault="00072E13">
          <w:pPr>
            <w:pStyle w:val="23"/>
            <w:tabs>
              <w:tab w:val="right" w:leader="dot" w:pos="8296"/>
            </w:tabs>
            <w:rPr>
              <w:rFonts w:eastAsiaTheme="minorEastAsia"/>
              <w:noProof/>
              <w:szCs w:val="22"/>
            </w:rPr>
          </w:pPr>
          <w:hyperlink w:anchor="_Toc153789763" w:history="1">
            <w:r w:rsidRPr="009168FF">
              <w:rPr>
                <w:rStyle w:val="a9"/>
                <w:rFonts w:ascii="楷体" w:eastAsia="楷体" w:hAnsi="楷体"/>
                <w:b/>
                <w:noProof/>
              </w:rPr>
              <w:t>纯碱：供给反复扰动，宽幅震荡</w:t>
            </w:r>
          </w:hyperlink>
        </w:p>
        <w:p w:rsidR="00072E13" w:rsidRDefault="00072E13">
          <w:pPr>
            <w:pStyle w:val="11"/>
            <w:tabs>
              <w:tab w:val="right" w:leader="dot" w:pos="8296"/>
            </w:tabs>
            <w:rPr>
              <w:rFonts w:eastAsiaTheme="minorEastAsia"/>
              <w:noProof/>
              <w:szCs w:val="22"/>
            </w:rPr>
          </w:pPr>
          <w:hyperlink w:anchor="_Toc153789764" w:history="1">
            <w:r w:rsidRPr="009168FF">
              <w:rPr>
                <w:rStyle w:val="a9"/>
                <w:rFonts w:ascii="Times New Roman" w:eastAsia="楷体" w:hAnsi="Times New Roman"/>
                <w:b/>
                <w:noProof/>
              </w:rPr>
              <w:t>[</w:t>
            </w:r>
            <w:r w:rsidRPr="009168FF">
              <w:rPr>
                <w:rStyle w:val="a9"/>
                <w:rFonts w:ascii="Times New Roman" w:eastAsia="楷体" w:hAnsi="Times New Roman"/>
                <w:b/>
                <w:noProof/>
              </w:rPr>
              <w:t>农产品</w:t>
            </w:r>
            <w:r w:rsidRPr="009168FF">
              <w:rPr>
                <w:rStyle w:val="a9"/>
                <w:rFonts w:ascii="Times New Roman" w:eastAsia="楷体" w:hAnsi="Times New Roman"/>
                <w:b/>
                <w:noProof/>
              </w:rPr>
              <w:t>]</w:t>
            </w:r>
          </w:hyperlink>
        </w:p>
        <w:p w:rsidR="00072E13" w:rsidRDefault="00072E13">
          <w:pPr>
            <w:pStyle w:val="23"/>
            <w:tabs>
              <w:tab w:val="right" w:leader="dot" w:pos="8296"/>
            </w:tabs>
            <w:rPr>
              <w:rFonts w:eastAsiaTheme="minorEastAsia"/>
              <w:noProof/>
              <w:szCs w:val="22"/>
            </w:rPr>
          </w:pPr>
          <w:hyperlink w:anchor="_Toc153789765" w:history="1">
            <w:r w:rsidRPr="009168FF">
              <w:rPr>
                <w:rStyle w:val="a9"/>
                <w:rFonts w:ascii="楷体" w:eastAsia="楷体" w:hAnsi="楷体"/>
                <w:b/>
                <w:noProof/>
              </w:rPr>
              <w:t>豆粕/菜粕：南美天气不稳定，期价震荡运行</w:t>
            </w:r>
          </w:hyperlink>
        </w:p>
        <w:p w:rsidR="00072E13" w:rsidRDefault="00072E13">
          <w:pPr>
            <w:pStyle w:val="23"/>
            <w:tabs>
              <w:tab w:val="right" w:leader="dot" w:pos="8296"/>
            </w:tabs>
            <w:rPr>
              <w:rFonts w:eastAsiaTheme="minorEastAsia"/>
              <w:noProof/>
              <w:szCs w:val="22"/>
            </w:rPr>
          </w:pPr>
          <w:hyperlink w:anchor="_Toc153789766" w:history="1">
            <w:r w:rsidRPr="009168FF">
              <w:rPr>
                <w:rStyle w:val="a9"/>
                <w:rFonts w:ascii="楷体" w:eastAsia="楷体" w:hAnsi="楷体"/>
                <w:b/>
                <w:noProof/>
              </w:rPr>
              <w:t>油脂：支撑力度或不足，预计偏弱震荡</w:t>
            </w:r>
          </w:hyperlink>
        </w:p>
        <w:p w:rsidR="00072E13" w:rsidRDefault="00072E13">
          <w:pPr>
            <w:pStyle w:val="23"/>
            <w:tabs>
              <w:tab w:val="right" w:leader="dot" w:pos="8296"/>
            </w:tabs>
            <w:rPr>
              <w:rFonts w:eastAsiaTheme="minorEastAsia"/>
              <w:noProof/>
              <w:szCs w:val="22"/>
            </w:rPr>
          </w:pPr>
          <w:hyperlink w:anchor="_Toc153789767" w:history="1">
            <w:r w:rsidRPr="009168FF">
              <w:rPr>
                <w:rStyle w:val="a9"/>
                <w:rFonts w:ascii="楷体" w:eastAsia="楷体" w:hAnsi="楷体"/>
                <w:b/>
                <w:bCs/>
                <w:noProof/>
              </w:rPr>
              <w:t>玉米与淀粉：</w:t>
            </w:r>
            <w:r w:rsidRPr="009168FF">
              <w:rPr>
                <w:rStyle w:val="a9"/>
                <w:rFonts w:ascii="楷体" w:eastAsia="楷体" w:hAnsi="楷体"/>
                <w:b/>
                <w:noProof/>
              </w:rPr>
              <w:t>期现货延续弱势</w:t>
            </w:r>
          </w:hyperlink>
        </w:p>
        <w:p w:rsidR="00072E13" w:rsidRDefault="00072E13">
          <w:pPr>
            <w:pStyle w:val="23"/>
            <w:tabs>
              <w:tab w:val="right" w:leader="dot" w:pos="8296"/>
            </w:tabs>
            <w:rPr>
              <w:rFonts w:eastAsiaTheme="minorEastAsia"/>
              <w:noProof/>
              <w:szCs w:val="22"/>
            </w:rPr>
          </w:pPr>
          <w:hyperlink w:anchor="_Toc153789768" w:history="1">
            <w:r w:rsidRPr="009168FF">
              <w:rPr>
                <w:rStyle w:val="a9"/>
                <w:rFonts w:ascii="楷体" w:eastAsia="楷体" w:hAnsi="楷体"/>
                <w:b/>
                <w:bCs/>
                <w:noProof/>
              </w:rPr>
              <w:t>畜禽养殖：生猪现货带动近月期价大幅反弹</w:t>
            </w:r>
          </w:hyperlink>
        </w:p>
        <w:p w:rsidR="00072E13" w:rsidRDefault="00072E13">
          <w:pPr>
            <w:pStyle w:val="23"/>
            <w:tabs>
              <w:tab w:val="right" w:leader="dot" w:pos="8296"/>
            </w:tabs>
            <w:rPr>
              <w:rFonts w:eastAsiaTheme="minorEastAsia"/>
              <w:noProof/>
              <w:szCs w:val="22"/>
            </w:rPr>
          </w:pPr>
          <w:hyperlink w:anchor="_Toc153789769" w:history="1">
            <w:r w:rsidRPr="009168FF">
              <w:rPr>
                <w:rStyle w:val="a9"/>
                <w:rFonts w:ascii="楷体" w:eastAsia="楷体" w:hAnsi="楷体"/>
                <w:b/>
                <w:noProof/>
              </w:rPr>
              <w:t>郑棉：区间弱势震荡整理</w:t>
            </w:r>
          </w:hyperlink>
        </w:p>
        <w:p w:rsidR="00072E13" w:rsidRDefault="00072E13">
          <w:pPr>
            <w:pStyle w:val="23"/>
            <w:tabs>
              <w:tab w:val="right" w:leader="dot" w:pos="8296"/>
            </w:tabs>
            <w:rPr>
              <w:rFonts w:eastAsiaTheme="minorEastAsia"/>
              <w:noProof/>
              <w:szCs w:val="22"/>
            </w:rPr>
          </w:pPr>
          <w:hyperlink w:anchor="_Toc153789770" w:history="1">
            <w:r w:rsidRPr="009168FF">
              <w:rPr>
                <w:rStyle w:val="a9"/>
                <w:rFonts w:ascii="楷体" w:eastAsia="楷体" w:hAnsi="楷体"/>
                <w:b/>
                <w:noProof/>
              </w:rPr>
              <w:t>白糖：震荡整理</w:t>
            </w:r>
          </w:hyperlink>
        </w:p>
        <w:p w:rsidR="00072E13" w:rsidRDefault="00072E13">
          <w:pPr>
            <w:pStyle w:val="11"/>
            <w:tabs>
              <w:tab w:val="right" w:leader="dot" w:pos="8296"/>
            </w:tabs>
            <w:rPr>
              <w:rFonts w:eastAsiaTheme="minorEastAsia"/>
              <w:noProof/>
              <w:szCs w:val="22"/>
            </w:rPr>
          </w:pPr>
          <w:hyperlink w:anchor="_Toc153789771" w:history="1">
            <w:r w:rsidRPr="009168FF">
              <w:rPr>
                <w:rStyle w:val="a9"/>
                <w:rFonts w:ascii="Times New Roman" w:eastAsia="楷体" w:hAnsi="Times New Roman"/>
                <w:b/>
                <w:noProof/>
              </w:rPr>
              <w:t>[</w:t>
            </w:r>
            <w:r w:rsidRPr="009168FF">
              <w:rPr>
                <w:rStyle w:val="a9"/>
                <w:rFonts w:ascii="Times New Roman" w:eastAsia="楷体" w:hAnsi="Times New Roman"/>
                <w:b/>
                <w:noProof/>
              </w:rPr>
              <w:t>指数</w:t>
            </w:r>
            <w:r w:rsidRPr="009168FF">
              <w:rPr>
                <w:rStyle w:val="a9"/>
                <w:rFonts w:ascii="Times New Roman" w:eastAsia="楷体" w:hAnsi="Times New Roman"/>
                <w:b/>
                <w:noProof/>
              </w:rPr>
              <w:t>]</w:t>
            </w:r>
          </w:hyperlink>
        </w:p>
        <w:p w:rsidR="00072E13" w:rsidRDefault="00072E13">
          <w:pPr>
            <w:pStyle w:val="23"/>
            <w:tabs>
              <w:tab w:val="right" w:leader="dot" w:pos="8296"/>
            </w:tabs>
            <w:rPr>
              <w:rFonts w:eastAsiaTheme="minorEastAsia"/>
              <w:noProof/>
              <w:szCs w:val="22"/>
            </w:rPr>
          </w:pPr>
          <w:hyperlink w:anchor="_Toc153789772" w:history="1">
            <w:r w:rsidRPr="009168FF">
              <w:rPr>
                <w:rStyle w:val="a9"/>
                <w:rFonts w:ascii="Times New Roman" w:eastAsia="楷体" w:hAnsi="Times New Roman"/>
                <w:b/>
                <w:noProof/>
              </w:rPr>
              <w:t>集运指数（欧线）：</w:t>
            </w:r>
            <w:r w:rsidRPr="009168FF">
              <w:rPr>
                <w:rStyle w:val="a9"/>
                <w:rFonts w:ascii="Times New Roman" w:eastAsia="楷体" w:hAnsi="Times New Roman"/>
                <w:b/>
                <w:noProof/>
              </w:rPr>
              <w:t>SCFI</w:t>
            </w:r>
            <w:r w:rsidRPr="009168FF">
              <w:rPr>
                <w:rStyle w:val="a9"/>
                <w:rFonts w:ascii="Times New Roman" w:eastAsia="楷体" w:hAnsi="Times New Roman"/>
                <w:b/>
                <w:noProof/>
              </w:rPr>
              <w:t>欧线继续上涨，期货价格高位震荡</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53789741"/>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53789742"/>
      <w:bookmarkEnd w:id="4"/>
      <w:r>
        <w:rPr>
          <w:rFonts w:ascii="Times New Roman" w:eastAsia="楷体" w:hAnsi="Times New Roman" w:hint="eastAsia"/>
          <w:b/>
          <w:color w:val="000000" w:themeColor="text1"/>
          <w:sz w:val="24"/>
          <w:szCs w:val="24"/>
        </w:rPr>
        <w:t>股指：</w:t>
      </w:r>
      <w:bookmarkEnd w:id="6"/>
      <w:bookmarkEnd w:id="7"/>
      <w:r w:rsidR="00072E13" w:rsidRPr="00072E13">
        <w:rPr>
          <w:rFonts w:ascii="Times New Roman" w:eastAsia="楷体" w:hAnsi="Times New Roman" w:hint="eastAsia"/>
          <w:b/>
          <w:color w:val="000000" w:themeColor="text1"/>
          <w:sz w:val="24"/>
          <w:szCs w:val="24"/>
        </w:rPr>
        <w:t>波段操作，低吸</w:t>
      </w:r>
      <w:r w:rsidR="00072E13" w:rsidRPr="00072E13">
        <w:rPr>
          <w:rFonts w:ascii="Times New Roman" w:eastAsia="楷体" w:hAnsi="Times New Roman" w:hint="eastAsia"/>
          <w:b/>
          <w:color w:val="000000" w:themeColor="text1"/>
          <w:sz w:val="24"/>
          <w:szCs w:val="24"/>
        </w:rPr>
        <w:t>IM</w:t>
      </w:r>
      <w:r w:rsidR="00072E13" w:rsidRPr="00072E13">
        <w:rPr>
          <w:rFonts w:ascii="Times New Roman" w:eastAsia="楷体" w:hAnsi="Times New Roman" w:hint="eastAsia"/>
          <w:b/>
          <w:color w:val="000000" w:themeColor="text1"/>
          <w:sz w:val="24"/>
          <w:szCs w:val="24"/>
        </w:rPr>
        <w:t>多单</w:t>
      </w:r>
      <w:bookmarkEnd w:id="8"/>
    </w:p>
    <w:p w:rsidR="003F56A5" w:rsidRDefault="00072E13" w:rsidP="009B3615">
      <w:pPr>
        <w:ind w:leftChars="300" w:left="630"/>
        <w:rPr>
          <w:rFonts w:ascii="Times New Roman" w:eastAsia="楷体" w:hAnsi="Times New Roman"/>
          <w:color w:val="000000" w:themeColor="text1"/>
          <w:sz w:val="24"/>
          <w:szCs w:val="24"/>
        </w:rPr>
      </w:pPr>
      <w:r w:rsidRPr="00072E13">
        <w:rPr>
          <w:rFonts w:ascii="Times New Roman" w:eastAsia="楷体" w:hAnsi="Times New Roman" w:hint="eastAsia"/>
          <w:color w:val="000000" w:themeColor="text1"/>
          <w:sz w:val="24"/>
          <w:szCs w:val="24"/>
        </w:rPr>
        <w:t>当前市场对中国经济的结构性问题有充分认知，随着会议落地，市场对于政策端预期交易暂告段落。基本面维度，</w:t>
      </w:r>
      <w:r w:rsidRPr="00072E13">
        <w:rPr>
          <w:rFonts w:ascii="Times New Roman" w:eastAsia="楷体" w:hAnsi="Times New Roman" w:hint="eastAsia"/>
          <w:color w:val="000000" w:themeColor="text1"/>
          <w:sz w:val="24"/>
          <w:szCs w:val="24"/>
        </w:rPr>
        <w:t>11</w:t>
      </w:r>
      <w:r w:rsidRPr="00072E13">
        <w:rPr>
          <w:rFonts w:ascii="Times New Roman" w:eastAsia="楷体" w:hAnsi="Times New Roman" w:hint="eastAsia"/>
          <w:color w:val="000000" w:themeColor="text1"/>
          <w:sz w:val="24"/>
          <w:szCs w:val="24"/>
        </w:rPr>
        <w:t>月经济数据并未释放过多有利信号，目前能刺激</w:t>
      </w:r>
      <w:r w:rsidRPr="00072E13">
        <w:rPr>
          <w:rFonts w:ascii="Times New Roman" w:eastAsia="楷体" w:hAnsi="Times New Roman" w:hint="eastAsia"/>
          <w:color w:val="000000" w:themeColor="text1"/>
          <w:sz w:val="24"/>
          <w:szCs w:val="24"/>
        </w:rPr>
        <w:t>A</w:t>
      </w:r>
      <w:r w:rsidRPr="00072E13">
        <w:rPr>
          <w:rFonts w:ascii="Times New Roman" w:eastAsia="楷体" w:hAnsi="Times New Roman" w:hint="eastAsia"/>
          <w:color w:val="000000" w:themeColor="text1"/>
          <w:sz w:val="24"/>
          <w:szCs w:val="24"/>
        </w:rPr>
        <w:t>股上行的主要驱动因素在于便宜，但现阶段也缺少主线逻辑，只有在相关资金组织反弹带动市场情绪。从估值角度来看，当前市场处于底部区域，在基本面没有出现明确信号时，底部反复或是常态，但</w:t>
      </w:r>
      <w:r w:rsidRPr="00072E13">
        <w:rPr>
          <w:rFonts w:ascii="Times New Roman" w:eastAsia="楷体" w:hAnsi="Times New Roman" w:hint="eastAsia"/>
          <w:color w:val="000000" w:themeColor="text1"/>
          <w:sz w:val="24"/>
          <w:szCs w:val="24"/>
        </w:rPr>
        <w:t>3000</w:t>
      </w:r>
      <w:r w:rsidRPr="00072E13">
        <w:rPr>
          <w:rFonts w:ascii="Times New Roman" w:eastAsia="楷体" w:hAnsi="Times New Roman" w:hint="eastAsia"/>
          <w:color w:val="000000" w:themeColor="text1"/>
          <w:sz w:val="24"/>
          <w:szCs w:val="24"/>
        </w:rPr>
        <w:t>点以下性价比及安全边际较高。以低吸思路为主，逢低轻仓布局</w:t>
      </w:r>
      <w:r w:rsidRPr="00072E13">
        <w:rPr>
          <w:rFonts w:ascii="Times New Roman" w:eastAsia="楷体" w:hAnsi="Times New Roman" w:hint="eastAsia"/>
          <w:color w:val="000000" w:themeColor="text1"/>
          <w:sz w:val="24"/>
          <w:szCs w:val="24"/>
        </w:rPr>
        <w:t>IM</w:t>
      </w:r>
      <w:r w:rsidRPr="00072E13">
        <w:rPr>
          <w:rFonts w:ascii="Times New Roman" w:eastAsia="楷体" w:hAnsi="Times New Roman" w:hint="eastAsia"/>
          <w:color w:val="000000" w:themeColor="text1"/>
          <w:sz w:val="24"/>
          <w:szCs w:val="24"/>
        </w:rPr>
        <w:t>多单</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53789743"/>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53789744"/>
      <w:r>
        <w:rPr>
          <w:rFonts w:ascii="Times New Roman" w:eastAsia="楷体" w:hAnsi="Times New Roman" w:hint="eastAsia"/>
          <w:b/>
          <w:color w:val="000000" w:themeColor="text1"/>
          <w:sz w:val="24"/>
          <w:szCs w:val="24"/>
        </w:rPr>
        <w:t>贵金属：</w:t>
      </w:r>
      <w:r w:rsidR="00072E13" w:rsidRPr="00072E13">
        <w:rPr>
          <w:rFonts w:ascii="Times New Roman" w:eastAsia="楷体" w:hAnsi="Times New Roman" w:hint="eastAsia"/>
          <w:b/>
          <w:color w:val="000000" w:themeColor="text1"/>
          <w:sz w:val="24"/>
          <w:szCs w:val="24"/>
        </w:rPr>
        <w:t>降息预期略微降温，贵金属价格小幅下跌</w:t>
      </w:r>
      <w:bookmarkEnd w:id="10"/>
    </w:p>
    <w:p w:rsidR="003F56A5" w:rsidRDefault="00072E13">
      <w:pPr>
        <w:ind w:leftChars="300" w:left="630"/>
        <w:rPr>
          <w:rFonts w:ascii="Times New Roman" w:eastAsia="楷体" w:hAnsi="Times New Roman"/>
          <w:sz w:val="24"/>
          <w:szCs w:val="24"/>
        </w:rPr>
      </w:pPr>
      <w:r w:rsidRPr="00072E13">
        <w:rPr>
          <w:rFonts w:ascii="Times New Roman" w:eastAsia="楷体" w:hAnsi="Times New Roman" w:hint="eastAsia"/>
          <w:color w:val="000000" w:themeColor="text1"/>
          <w:sz w:val="24"/>
          <w:szCs w:val="24"/>
        </w:rPr>
        <w:t>美元指数持平于</w:t>
      </w:r>
      <w:r w:rsidRPr="00072E13">
        <w:rPr>
          <w:rFonts w:ascii="Times New Roman" w:eastAsia="楷体" w:hAnsi="Times New Roman" w:hint="eastAsia"/>
          <w:color w:val="000000" w:themeColor="text1"/>
          <w:sz w:val="24"/>
          <w:szCs w:val="24"/>
        </w:rPr>
        <w:t>102.58</w:t>
      </w:r>
      <w:r w:rsidRPr="00072E13">
        <w:rPr>
          <w:rFonts w:ascii="Times New Roman" w:eastAsia="楷体" w:hAnsi="Times New Roman" w:hint="eastAsia"/>
          <w:color w:val="000000" w:themeColor="text1"/>
          <w:sz w:val="24"/>
          <w:szCs w:val="24"/>
        </w:rPr>
        <w:t>，美十债收益率微涨</w:t>
      </w:r>
      <w:r w:rsidRPr="00072E13">
        <w:rPr>
          <w:rFonts w:ascii="Times New Roman" w:eastAsia="楷体" w:hAnsi="Times New Roman" w:hint="eastAsia"/>
          <w:color w:val="000000" w:themeColor="text1"/>
          <w:sz w:val="24"/>
          <w:szCs w:val="24"/>
        </w:rPr>
        <w:t>1.6bp</w:t>
      </w:r>
      <w:r w:rsidRPr="00072E13">
        <w:rPr>
          <w:rFonts w:ascii="Times New Roman" w:eastAsia="楷体" w:hAnsi="Times New Roman" w:hint="eastAsia"/>
          <w:color w:val="000000" w:themeColor="text1"/>
          <w:sz w:val="24"/>
          <w:szCs w:val="24"/>
        </w:rPr>
        <w:t>至</w:t>
      </w:r>
      <w:r w:rsidRPr="00072E13">
        <w:rPr>
          <w:rFonts w:ascii="Times New Roman" w:eastAsia="楷体" w:hAnsi="Times New Roman" w:hint="eastAsia"/>
          <w:color w:val="000000" w:themeColor="text1"/>
          <w:sz w:val="24"/>
          <w:szCs w:val="24"/>
        </w:rPr>
        <w:t>3.933%</w:t>
      </w:r>
      <w:r w:rsidRPr="00072E13">
        <w:rPr>
          <w:rFonts w:ascii="Times New Roman" w:eastAsia="楷体" w:hAnsi="Times New Roman" w:hint="eastAsia"/>
          <w:color w:val="000000" w:themeColor="text1"/>
          <w:sz w:val="24"/>
          <w:szCs w:val="24"/>
        </w:rPr>
        <w:t>，沪金跌</w:t>
      </w:r>
      <w:r w:rsidRPr="00072E13">
        <w:rPr>
          <w:rFonts w:ascii="Times New Roman" w:eastAsia="楷体" w:hAnsi="Times New Roman" w:hint="eastAsia"/>
          <w:color w:val="000000" w:themeColor="text1"/>
          <w:sz w:val="24"/>
          <w:szCs w:val="24"/>
        </w:rPr>
        <w:t>0.42%</w:t>
      </w:r>
      <w:r w:rsidRPr="00072E13">
        <w:rPr>
          <w:rFonts w:ascii="Times New Roman" w:eastAsia="楷体" w:hAnsi="Times New Roman" w:hint="eastAsia"/>
          <w:color w:val="000000" w:themeColor="text1"/>
          <w:sz w:val="24"/>
          <w:szCs w:val="24"/>
        </w:rPr>
        <w:t>，沪银涨</w:t>
      </w:r>
      <w:r w:rsidRPr="00072E13">
        <w:rPr>
          <w:rFonts w:ascii="Times New Roman" w:eastAsia="楷体" w:hAnsi="Times New Roman" w:hint="eastAsia"/>
          <w:color w:val="000000" w:themeColor="text1"/>
          <w:sz w:val="24"/>
          <w:szCs w:val="24"/>
        </w:rPr>
        <w:t>0.91%</w:t>
      </w:r>
      <w:r w:rsidRPr="00072E13">
        <w:rPr>
          <w:rFonts w:ascii="Times New Roman" w:eastAsia="楷体" w:hAnsi="Times New Roman" w:hint="eastAsia"/>
          <w:color w:val="000000" w:themeColor="text1"/>
          <w:sz w:val="24"/>
          <w:szCs w:val="24"/>
        </w:rPr>
        <w:t>。美国联邦存款保险公司前主席希拉·拜尔表示，市场对美联储明年可能降息的乐观情绪过头了，抗通胀仍有很长的路要走，服务和租赁住房价格、预算赤字支出、贸易限制以及人口老龄化或将造成严重的通胀压力。美联储古尔斯比讲话称，现在宣布抗通胀胜利为时过早。截至</w:t>
      </w:r>
      <w:r w:rsidRPr="00072E13">
        <w:rPr>
          <w:rFonts w:ascii="Times New Roman" w:eastAsia="楷体" w:hAnsi="Times New Roman" w:hint="eastAsia"/>
          <w:color w:val="000000" w:themeColor="text1"/>
          <w:sz w:val="24"/>
          <w:szCs w:val="24"/>
        </w:rPr>
        <w:t>12</w:t>
      </w:r>
      <w:r w:rsidRPr="00072E13">
        <w:rPr>
          <w:rFonts w:ascii="Times New Roman" w:eastAsia="楷体" w:hAnsi="Times New Roman" w:hint="eastAsia"/>
          <w:color w:val="000000" w:themeColor="text1"/>
          <w:sz w:val="24"/>
          <w:szCs w:val="24"/>
        </w:rPr>
        <w:t>月</w:t>
      </w:r>
      <w:r w:rsidRPr="00072E13">
        <w:rPr>
          <w:rFonts w:ascii="Times New Roman" w:eastAsia="楷体" w:hAnsi="Times New Roman" w:hint="eastAsia"/>
          <w:color w:val="000000" w:themeColor="text1"/>
          <w:sz w:val="24"/>
          <w:szCs w:val="24"/>
        </w:rPr>
        <w:t>12</w:t>
      </w:r>
      <w:r w:rsidRPr="00072E13">
        <w:rPr>
          <w:rFonts w:ascii="Times New Roman" w:eastAsia="楷体" w:hAnsi="Times New Roman" w:hint="eastAsia"/>
          <w:color w:val="000000" w:themeColor="text1"/>
          <w:sz w:val="24"/>
          <w:szCs w:val="24"/>
        </w:rPr>
        <w:t>日当周，</w:t>
      </w:r>
      <w:r w:rsidRPr="00072E13">
        <w:rPr>
          <w:rFonts w:ascii="Times New Roman" w:eastAsia="楷体" w:hAnsi="Times New Roman" w:hint="eastAsia"/>
          <w:color w:val="000000" w:themeColor="text1"/>
          <w:sz w:val="24"/>
          <w:szCs w:val="24"/>
        </w:rPr>
        <w:t>COMEX</w:t>
      </w:r>
      <w:r w:rsidRPr="00072E13">
        <w:rPr>
          <w:rFonts w:ascii="Times New Roman" w:eastAsia="楷体" w:hAnsi="Times New Roman" w:hint="eastAsia"/>
          <w:color w:val="000000" w:themeColor="text1"/>
          <w:sz w:val="24"/>
          <w:szCs w:val="24"/>
        </w:rPr>
        <w:t>黄金期货管理基金净多持仓减少</w:t>
      </w:r>
      <w:r w:rsidRPr="00072E13">
        <w:rPr>
          <w:rFonts w:ascii="Times New Roman" w:eastAsia="楷体" w:hAnsi="Times New Roman" w:hint="eastAsia"/>
          <w:color w:val="000000" w:themeColor="text1"/>
          <w:sz w:val="24"/>
          <w:szCs w:val="24"/>
        </w:rPr>
        <w:t>13859</w:t>
      </w:r>
      <w:r w:rsidRPr="00072E13">
        <w:rPr>
          <w:rFonts w:ascii="Times New Roman" w:eastAsia="楷体" w:hAnsi="Times New Roman" w:hint="eastAsia"/>
          <w:color w:val="000000" w:themeColor="text1"/>
          <w:sz w:val="24"/>
          <w:szCs w:val="24"/>
        </w:rPr>
        <w:t>手至</w:t>
      </w:r>
      <w:r w:rsidRPr="00072E13">
        <w:rPr>
          <w:rFonts w:ascii="Times New Roman" w:eastAsia="楷体" w:hAnsi="Times New Roman" w:hint="eastAsia"/>
          <w:color w:val="000000" w:themeColor="text1"/>
          <w:sz w:val="24"/>
          <w:szCs w:val="24"/>
        </w:rPr>
        <w:t>95528</w:t>
      </w:r>
      <w:r w:rsidRPr="00072E13">
        <w:rPr>
          <w:rFonts w:ascii="Times New Roman" w:eastAsia="楷体" w:hAnsi="Times New Roman" w:hint="eastAsia"/>
          <w:color w:val="000000" w:themeColor="text1"/>
          <w:sz w:val="24"/>
          <w:szCs w:val="24"/>
        </w:rPr>
        <w:t>手，</w:t>
      </w:r>
      <w:r w:rsidRPr="00072E13">
        <w:rPr>
          <w:rFonts w:ascii="Times New Roman" w:eastAsia="楷体" w:hAnsi="Times New Roman" w:hint="eastAsia"/>
          <w:color w:val="000000" w:themeColor="text1"/>
          <w:sz w:val="24"/>
          <w:szCs w:val="24"/>
        </w:rPr>
        <w:t>COMEX</w:t>
      </w:r>
      <w:r w:rsidRPr="00072E13">
        <w:rPr>
          <w:rFonts w:ascii="Times New Roman" w:eastAsia="楷体" w:hAnsi="Times New Roman" w:hint="eastAsia"/>
          <w:color w:val="000000" w:themeColor="text1"/>
          <w:sz w:val="24"/>
          <w:szCs w:val="24"/>
        </w:rPr>
        <w:t>白银期货管理基金净多持仓减少</w:t>
      </w:r>
      <w:r w:rsidRPr="00072E13">
        <w:rPr>
          <w:rFonts w:ascii="Times New Roman" w:eastAsia="楷体" w:hAnsi="Times New Roman" w:hint="eastAsia"/>
          <w:color w:val="000000" w:themeColor="text1"/>
          <w:sz w:val="24"/>
          <w:szCs w:val="24"/>
        </w:rPr>
        <w:t>12863</w:t>
      </w:r>
      <w:r w:rsidRPr="00072E13">
        <w:rPr>
          <w:rFonts w:ascii="Times New Roman" w:eastAsia="楷体" w:hAnsi="Times New Roman" w:hint="eastAsia"/>
          <w:color w:val="000000" w:themeColor="text1"/>
          <w:sz w:val="24"/>
          <w:szCs w:val="24"/>
        </w:rPr>
        <w:t>手至</w:t>
      </w:r>
      <w:r w:rsidRPr="00072E13">
        <w:rPr>
          <w:rFonts w:ascii="Times New Roman" w:eastAsia="楷体" w:hAnsi="Times New Roman" w:hint="eastAsia"/>
          <w:color w:val="000000" w:themeColor="text1"/>
          <w:sz w:val="24"/>
          <w:szCs w:val="24"/>
        </w:rPr>
        <w:t>8667</w:t>
      </w:r>
      <w:r w:rsidRPr="00072E13">
        <w:rPr>
          <w:rFonts w:ascii="Times New Roman" w:eastAsia="楷体" w:hAnsi="Times New Roman" w:hint="eastAsia"/>
          <w:color w:val="000000" w:themeColor="text1"/>
          <w:sz w:val="24"/>
          <w:szCs w:val="24"/>
        </w:rPr>
        <w:t>手。截至</w:t>
      </w:r>
      <w:r w:rsidRPr="00072E13">
        <w:rPr>
          <w:rFonts w:ascii="Times New Roman" w:eastAsia="楷体" w:hAnsi="Times New Roman" w:hint="eastAsia"/>
          <w:color w:val="000000" w:themeColor="text1"/>
          <w:sz w:val="24"/>
          <w:szCs w:val="24"/>
        </w:rPr>
        <w:t>12</w:t>
      </w:r>
      <w:r w:rsidRPr="00072E13">
        <w:rPr>
          <w:rFonts w:ascii="Times New Roman" w:eastAsia="楷体" w:hAnsi="Times New Roman" w:hint="eastAsia"/>
          <w:color w:val="000000" w:themeColor="text1"/>
          <w:sz w:val="24"/>
          <w:szCs w:val="24"/>
        </w:rPr>
        <w:t>月</w:t>
      </w:r>
      <w:r w:rsidRPr="00072E13">
        <w:rPr>
          <w:rFonts w:ascii="Times New Roman" w:eastAsia="楷体" w:hAnsi="Times New Roman" w:hint="eastAsia"/>
          <w:color w:val="000000" w:themeColor="text1"/>
          <w:sz w:val="24"/>
          <w:szCs w:val="24"/>
        </w:rPr>
        <w:t>15</w:t>
      </w:r>
      <w:r w:rsidRPr="00072E13">
        <w:rPr>
          <w:rFonts w:ascii="Times New Roman" w:eastAsia="楷体" w:hAnsi="Times New Roman" w:hint="eastAsia"/>
          <w:color w:val="000000" w:themeColor="text1"/>
          <w:sz w:val="24"/>
          <w:szCs w:val="24"/>
        </w:rPr>
        <w:t>日，</w:t>
      </w:r>
      <w:r w:rsidRPr="00072E13">
        <w:rPr>
          <w:rFonts w:ascii="Times New Roman" w:eastAsia="楷体" w:hAnsi="Times New Roman" w:hint="eastAsia"/>
          <w:color w:val="000000" w:themeColor="text1"/>
          <w:sz w:val="24"/>
          <w:szCs w:val="24"/>
        </w:rPr>
        <w:t>SPDR</w:t>
      </w:r>
      <w:r w:rsidRPr="00072E13">
        <w:rPr>
          <w:rFonts w:ascii="Times New Roman" w:eastAsia="楷体" w:hAnsi="Times New Roman" w:hint="eastAsia"/>
          <w:color w:val="000000" w:themeColor="text1"/>
          <w:sz w:val="24"/>
          <w:szCs w:val="24"/>
        </w:rPr>
        <w:t>黄金</w:t>
      </w:r>
      <w:r w:rsidRPr="00072E13">
        <w:rPr>
          <w:rFonts w:ascii="Times New Roman" w:eastAsia="楷体" w:hAnsi="Times New Roman" w:hint="eastAsia"/>
          <w:color w:val="000000" w:themeColor="text1"/>
          <w:sz w:val="24"/>
          <w:szCs w:val="24"/>
        </w:rPr>
        <w:t>ETF</w:t>
      </w:r>
      <w:r w:rsidRPr="00072E13">
        <w:rPr>
          <w:rFonts w:ascii="Times New Roman" w:eastAsia="楷体" w:hAnsi="Times New Roman" w:hint="eastAsia"/>
          <w:color w:val="000000" w:themeColor="text1"/>
          <w:sz w:val="24"/>
          <w:szCs w:val="24"/>
        </w:rPr>
        <w:t>持仓</w:t>
      </w:r>
      <w:r w:rsidRPr="00072E13">
        <w:rPr>
          <w:rFonts w:ascii="Times New Roman" w:eastAsia="楷体" w:hAnsi="Times New Roman" w:hint="eastAsia"/>
          <w:color w:val="000000" w:themeColor="text1"/>
          <w:sz w:val="24"/>
          <w:szCs w:val="24"/>
        </w:rPr>
        <w:t>879.69</w:t>
      </w:r>
      <w:r w:rsidRPr="00072E13">
        <w:rPr>
          <w:rFonts w:ascii="Times New Roman" w:eastAsia="楷体" w:hAnsi="Times New Roman" w:hint="eastAsia"/>
          <w:color w:val="000000" w:themeColor="text1"/>
          <w:sz w:val="24"/>
          <w:szCs w:val="24"/>
        </w:rPr>
        <w:t>吨，周内流出</w:t>
      </w:r>
      <w:r w:rsidRPr="00072E13">
        <w:rPr>
          <w:rFonts w:ascii="Times New Roman" w:eastAsia="楷体" w:hAnsi="Times New Roman" w:hint="eastAsia"/>
          <w:color w:val="000000" w:themeColor="text1"/>
          <w:sz w:val="24"/>
          <w:szCs w:val="24"/>
        </w:rPr>
        <w:t>0.86</w:t>
      </w:r>
      <w:r w:rsidRPr="00072E13">
        <w:rPr>
          <w:rFonts w:ascii="Times New Roman" w:eastAsia="楷体" w:hAnsi="Times New Roman" w:hint="eastAsia"/>
          <w:color w:val="000000" w:themeColor="text1"/>
          <w:sz w:val="24"/>
          <w:szCs w:val="24"/>
        </w:rPr>
        <w:t>吨；</w:t>
      </w:r>
      <w:r w:rsidRPr="00072E13">
        <w:rPr>
          <w:rFonts w:ascii="Times New Roman" w:eastAsia="楷体" w:hAnsi="Times New Roman" w:hint="eastAsia"/>
          <w:color w:val="000000" w:themeColor="text1"/>
          <w:sz w:val="24"/>
          <w:szCs w:val="24"/>
        </w:rPr>
        <w:t>SLV</w:t>
      </w:r>
      <w:r w:rsidRPr="00072E13">
        <w:rPr>
          <w:rFonts w:ascii="Times New Roman" w:eastAsia="楷体" w:hAnsi="Times New Roman" w:hint="eastAsia"/>
          <w:color w:val="000000" w:themeColor="text1"/>
          <w:sz w:val="24"/>
          <w:szCs w:val="24"/>
        </w:rPr>
        <w:t>白银</w:t>
      </w:r>
      <w:r w:rsidRPr="00072E13">
        <w:rPr>
          <w:rFonts w:ascii="Times New Roman" w:eastAsia="楷体" w:hAnsi="Times New Roman" w:hint="eastAsia"/>
          <w:color w:val="000000" w:themeColor="text1"/>
          <w:sz w:val="24"/>
          <w:szCs w:val="24"/>
        </w:rPr>
        <w:t>ETF</w:t>
      </w:r>
      <w:r w:rsidRPr="00072E13">
        <w:rPr>
          <w:rFonts w:ascii="Times New Roman" w:eastAsia="楷体" w:hAnsi="Times New Roman" w:hint="eastAsia"/>
          <w:color w:val="000000" w:themeColor="text1"/>
          <w:sz w:val="24"/>
          <w:szCs w:val="24"/>
        </w:rPr>
        <w:t>持仓</w:t>
      </w:r>
      <w:r w:rsidRPr="00072E13">
        <w:rPr>
          <w:rFonts w:ascii="Times New Roman" w:eastAsia="楷体" w:hAnsi="Times New Roman" w:hint="eastAsia"/>
          <w:color w:val="000000" w:themeColor="text1"/>
          <w:sz w:val="24"/>
          <w:szCs w:val="24"/>
        </w:rPr>
        <w:t>13705.62</w:t>
      </w:r>
      <w:r w:rsidRPr="00072E13">
        <w:rPr>
          <w:rFonts w:ascii="Times New Roman" w:eastAsia="楷体" w:hAnsi="Times New Roman" w:hint="eastAsia"/>
          <w:color w:val="000000" w:themeColor="text1"/>
          <w:sz w:val="24"/>
          <w:szCs w:val="24"/>
        </w:rPr>
        <w:t>吨，周内流入</w:t>
      </w:r>
      <w:r w:rsidRPr="00072E13">
        <w:rPr>
          <w:rFonts w:ascii="Times New Roman" w:eastAsia="楷体" w:hAnsi="Times New Roman" w:hint="eastAsia"/>
          <w:color w:val="000000" w:themeColor="text1"/>
          <w:sz w:val="24"/>
          <w:szCs w:val="24"/>
        </w:rPr>
        <w:t>183.71</w:t>
      </w:r>
      <w:r w:rsidRPr="00072E13">
        <w:rPr>
          <w:rFonts w:ascii="Times New Roman" w:eastAsia="楷体" w:hAnsi="Times New Roman" w:hint="eastAsia"/>
          <w:color w:val="000000" w:themeColor="text1"/>
          <w:sz w:val="24"/>
          <w:szCs w:val="24"/>
        </w:rPr>
        <w:t>吨。美联储表态朝向鸽派立场转变，后续市场交易逻辑从围绕“什么时候降息”转向“降息多少”，而在利率下降的环境下，对于零息资产黄金、白银而言整体利多，建议沪金、沪银逢回调轻仓试多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53789745"/>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53789746"/>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072E13" w:rsidRPr="00072E13">
        <w:rPr>
          <w:rFonts w:ascii="楷体" w:eastAsia="楷体" w:hAnsi="楷体" w:hint="eastAsia"/>
          <w:b/>
          <w:color w:val="000000" w:themeColor="text1"/>
          <w:sz w:val="24"/>
          <w:szCs w:val="24"/>
        </w:rPr>
        <w:t>广期所增设厂库保障交割资源，资金博弈下期价波动加剧</w:t>
      </w:r>
      <w:bookmarkEnd w:id="18"/>
    </w:p>
    <w:p w:rsidR="00F50569" w:rsidRDefault="00072E13" w:rsidP="00F50569">
      <w:pPr>
        <w:ind w:leftChars="300" w:left="630"/>
        <w:rPr>
          <w:rFonts w:ascii="楷体" w:eastAsia="楷体" w:hAnsi="楷体"/>
          <w:color w:val="000000" w:themeColor="text1"/>
          <w:sz w:val="24"/>
          <w:szCs w:val="24"/>
        </w:rPr>
      </w:pPr>
      <w:r w:rsidRPr="00072E13">
        <w:rPr>
          <w:rFonts w:ascii="楷体" w:eastAsia="楷体" w:hAnsi="楷体" w:hint="eastAsia"/>
          <w:color w:val="000000" w:themeColor="text1"/>
          <w:sz w:val="24"/>
          <w:szCs w:val="24"/>
        </w:rPr>
        <w:t>消息面扰动因素增加，近期碳酸锂期价波动加剧。上周周初，因部分交易者担忧三连涨停板后风控政策可能进一步收紧，多头止盈离场，以及广期所宣布增设交割厂库、交割仓库扩容，令交割资源紧缺的担忧暂时减缓，上周一期价以涨停价高开，随后大幅下跌。上周周中市场一度回归现货需求弱势、供过于求的基本面逻辑，期价大幅下跌至约9万元/吨；周三临近收盘时受“蓝科锂业产品不达交割品标准”、“交割品检验达标率低”等不实市场传闻影响，尾盘大幅拉升全线涨停，后续市场一定程度上仍受交割资源紧缺担忧情绪影响，期价维持涨势。广期所相关负责人针对市场传言作出回应：“截至目前，蓝科锂业并未申报交割，申报交割的货物中也没有蓝科锂业的产品；所谓广期所进仓的碳酸锂只有30%合格率，严重与事实不符。”近期广期所公告新增厦门象屿、厦门国贸为交割厂库，新增九岭锂</w:t>
      </w:r>
      <w:r w:rsidRPr="00072E13">
        <w:rPr>
          <w:rFonts w:ascii="楷体" w:eastAsia="楷体" w:hAnsi="楷体" w:hint="eastAsia"/>
          <w:color w:val="000000" w:themeColor="text1"/>
          <w:sz w:val="24"/>
          <w:szCs w:val="24"/>
        </w:rPr>
        <w:lastRenderedPageBreak/>
        <w:t>业交割厂库存放点及上调原有存放点库容，保障交割资源供应。期价下跌至9-10万元/吨附近后相对接近自有矿石提锂成本线，盘面震荡幅度加大，多空分歧明显。现货基本面未发生重大改善，下游需求偏弱，供应存在增量预期。近期资金博弈有所加剧，建议谨慎观望，留意交易风险</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53789747"/>
      <w:r>
        <w:rPr>
          <w:rFonts w:ascii="楷体" w:eastAsia="楷体" w:hAnsi="楷体" w:hint="eastAsia"/>
          <w:b/>
          <w:color w:val="000000" w:themeColor="text1"/>
          <w:sz w:val="24"/>
          <w:szCs w:val="24"/>
        </w:rPr>
        <w:t>螺纹钢：</w:t>
      </w:r>
      <w:bookmarkEnd w:id="16"/>
      <w:bookmarkEnd w:id="17"/>
      <w:r w:rsidR="00072E13" w:rsidRPr="00072E13">
        <w:rPr>
          <w:rFonts w:ascii="楷体" w:eastAsia="楷体" w:hAnsi="楷体" w:hint="eastAsia"/>
          <w:b/>
          <w:color w:val="000000" w:themeColor="text1"/>
          <w:sz w:val="24"/>
          <w:szCs w:val="24"/>
        </w:rPr>
        <w:t>短期继续偏弱调整，等待企稳</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072E13" w:rsidP="00201944">
      <w:pPr>
        <w:ind w:leftChars="300" w:left="630"/>
        <w:rPr>
          <w:rFonts w:ascii="楷体" w:eastAsia="楷体" w:hAnsi="楷体"/>
          <w:color w:val="000000" w:themeColor="text1"/>
          <w:sz w:val="24"/>
          <w:szCs w:val="24"/>
        </w:rPr>
      </w:pPr>
      <w:r w:rsidRPr="00072E13">
        <w:rPr>
          <w:rFonts w:ascii="楷体" w:eastAsia="楷体" w:hAnsi="楷体" w:hint="eastAsia"/>
          <w:color w:val="000000" w:themeColor="text1"/>
          <w:sz w:val="24"/>
          <w:szCs w:val="24"/>
        </w:rPr>
        <w:t>钢厂陆续披露冬储政策，市场或逐渐进入冬储博弈阶段，市场对未来的预期对价格影响更大。重大会议精神偏温和刺激，前期市场预期较足，短期回调溢价部分，预计震荡向下测试底部支撑，关注市场补库动作</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53789748"/>
      <w:r>
        <w:rPr>
          <w:rFonts w:ascii="楷体" w:eastAsia="楷体" w:hAnsi="楷体" w:hint="eastAsia"/>
          <w:b/>
          <w:color w:val="000000" w:themeColor="text1"/>
          <w:sz w:val="24"/>
          <w:szCs w:val="24"/>
        </w:rPr>
        <w:t>焦炭：</w:t>
      </w:r>
      <w:bookmarkEnd w:id="20"/>
      <w:bookmarkEnd w:id="21"/>
      <w:r w:rsidR="00072E13" w:rsidRPr="00072E13">
        <w:rPr>
          <w:rFonts w:ascii="楷体" w:eastAsia="楷体" w:hAnsi="楷体" w:hint="eastAsia"/>
          <w:b/>
          <w:color w:val="000000" w:themeColor="text1"/>
          <w:sz w:val="24"/>
          <w:szCs w:val="24"/>
        </w:rPr>
        <w:t>成本中枢下移，焦炭偏弱运行</w:t>
      </w:r>
      <w:bookmarkEnd w:id="22"/>
    </w:p>
    <w:p w:rsidR="003F56A5" w:rsidRDefault="00072E13" w:rsidP="00572E35">
      <w:pPr>
        <w:ind w:leftChars="300" w:left="630"/>
        <w:rPr>
          <w:rFonts w:ascii="楷体" w:eastAsia="楷体" w:hAnsi="楷体"/>
          <w:color w:val="000000" w:themeColor="text1"/>
          <w:sz w:val="24"/>
          <w:szCs w:val="24"/>
        </w:rPr>
      </w:pPr>
      <w:r w:rsidRPr="00072E13">
        <w:rPr>
          <w:rFonts w:ascii="楷体" w:eastAsia="楷体" w:hAnsi="楷体" w:hint="eastAsia"/>
          <w:color w:val="000000" w:themeColor="text1"/>
          <w:sz w:val="24"/>
          <w:szCs w:val="24"/>
        </w:rPr>
        <w:t>下游库存相对健康，成材利润偏低情况下，下游继续补库动力不足，煤价偏弱运行，成本中枢下移，焦炭随成材偏弱运行</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53789749"/>
      <w:r>
        <w:rPr>
          <w:rFonts w:ascii="楷体" w:eastAsia="楷体" w:hAnsi="楷体" w:hint="eastAsia"/>
          <w:b/>
          <w:color w:val="000000" w:themeColor="text1"/>
          <w:sz w:val="24"/>
          <w:szCs w:val="24"/>
        </w:rPr>
        <w:t>焦煤：</w:t>
      </w:r>
      <w:r w:rsidR="00072E13" w:rsidRPr="00072E13">
        <w:rPr>
          <w:rFonts w:ascii="楷体" w:eastAsia="楷体" w:hAnsi="楷体" w:hint="eastAsia"/>
          <w:b/>
          <w:sz w:val="24"/>
          <w:szCs w:val="24"/>
        </w:rPr>
        <w:t>继续补库动力不足，煤价震荡向下</w:t>
      </w:r>
      <w:bookmarkEnd w:id="23"/>
    </w:p>
    <w:p w:rsidR="003F56A5" w:rsidRDefault="00072E13">
      <w:pPr>
        <w:ind w:leftChars="300" w:left="630"/>
        <w:rPr>
          <w:rFonts w:ascii="楷体" w:eastAsia="楷体" w:hAnsi="楷体"/>
          <w:bCs/>
          <w:sz w:val="24"/>
          <w:szCs w:val="24"/>
        </w:rPr>
      </w:pPr>
      <w:r w:rsidRPr="00072E13">
        <w:rPr>
          <w:rFonts w:ascii="楷体" w:eastAsia="楷体" w:hAnsi="楷体" w:hint="eastAsia"/>
          <w:sz w:val="24"/>
          <w:szCs w:val="24"/>
        </w:rPr>
        <w:t>下游刚经历一轮补库，整体库存处于合理水平，短期上行驱动不强。煤矿仍处于低产、低库存状态，叠加仍有部分冬储量未完成，盘面绝对价格下移后仍有支撑。短期煤价高位随钢价震荡下行，相对偏弱</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53789750"/>
      <w:r>
        <w:rPr>
          <w:rFonts w:ascii="楷体" w:eastAsia="楷体" w:hAnsi="楷体" w:hint="eastAsia"/>
          <w:b/>
          <w:color w:val="000000" w:themeColor="text1"/>
          <w:sz w:val="24"/>
          <w:szCs w:val="24"/>
        </w:rPr>
        <w:t>铜：</w:t>
      </w:r>
      <w:bookmarkEnd w:id="24"/>
      <w:bookmarkEnd w:id="25"/>
      <w:r w:rsidR="00072E13" w:rsidRPr="00072E13">
        <w:rPr>
          <w:rFonts w:ascii="楷体" w:eastAsia="楷体" w:hAnsi="楷体" w:hint="eastAsia"/>
          <w:b/>
          <w:color w:val="000000" w:themeColor="text1"/>
          <w:sz w:val="24"/>
          <w:szCs w:val="24"/>
        </w:rPr>
        <w:t>维持高位运行</w:t>
      </w:r>
      <w:bookmarkEnd w:id="26"/>
    </w:p>
    <w:p w:rsidR="00072E13" w:rsidRPr="00072E13" w:rsidRDefault="00072E13" w:rsidP="00072E13">
      <w:pPr>
        <w:ind w:leftChars="300" w:left="630"/>
        <w:rPr>
          <w:rFonts w:ascii="楷体" w:eastAsia="楷体" w:hAnsi="楷体" w:hint="eastAsia"/>
          <w:color w:val="000000" w:themeColor="text1"/>
          <w:sz w:val="24"/>
          <w:szCs w:val="24"/>
        </w:rPr>
      </w:pPr>
      <w:r w:rsidRPr="00072E13">
        <w:rPr>
          <w:rFonts w:ascii="楷体" w:eastAsia="楷体" w:hAnsi="楷体" w:hint="eastAsia"/>
          <w:color w:val="000000" w:themeColor="text1"/>
          <w:sz w:val="24"/>
          <w:szCs w:val="24"/>
        </w:rPr>
        <w:t>(1)宏观：统计局数据显示，11月工业增加值同比增长6.6%，超越前值4.6%与预期值5.7%，增速为2022年2月以来最高。</w:t>
      </w:r>
    </w:p>
    <w:p w:rsidR="00072E13" w:rsidRPr="00072E13" w:rsidRDefault="00072E13" w:rsidP="00072E13">
      <w:pPr>
        <w:ind w:leftChars="300" w:left="630"/>
        <w:rPr>
          <w:rFonts w:ascii="楷体" w:eastAsia="楷体" w:hAnsi="楷体" w:hint="eastAsia"/>
          <w:color w:val="000000" w:themeColor="text1"/>
          <w:sz w:val="24"/>
          <w:szCs w:val="24"/>
        </w:rPr>
      </w:pPr>
      <w:r w:rsidRPr="00072E13">
        <w:rPr>
          <w:rFonts w:ascii="楷体" w:eastAsia="楷体" w:hAnsi="楷体" w:hint="eastAsia"/>
          <w:color w:val="000000" w:themeColor="text1"/>
          <w:sz w:val="24"/>
          <w:szCs w:val="24"/>
        </w:rPr>
        <w:t>(2)库存：12月15日，SHFE周库存34396吨，较上周五增4054吨；LME仓单库存175550吨，较上周五减6050吨。</w:t>
      </w:r>
    </w:p>
    <w:p w:rsidR="00072E13" w:rsidRPr="00072E13" w:rsidRDefault="00072E13" w:rsidP="00072E13">
      <w:pPr>
        <w:ind w:leftChars="300" w:left="630"/>
        <w:rPr>
          <w:rFonts w:ascii="楷体" w:eastAsia="楷体" w:hAnsi="楷体" w:hint="eastAsia"/>
          <w:color w:val="000000" w:themeColor="text1"/>
          <w:sz w:val="24"/>
          <w:szCs w:val="24"/>
        </w:rPr>
      </w:pPr>
      <w:r w:rsidRPr="00072E13">
        <w:rPr>
          <w:rFonts w:ascii="楷体" w:eastAsia="楷体" w:hAnsi="楷体" w:hint="eastAsia"/>
          <w:color w:val="000000" w:themeColor="text1"/>
          <w:sz w:val="24"/>
          <w:szCs w:val="24"/>
        </w:rPr>
        <w:t>(3)精废价差：12月15日，Mysteel精废价差1862，扩张22。目前价差在合理价差1390之上。</w:t>
      </w:r>
    </w:p>
    <w:p w:rsidR="00072E13" w:rsidRPr="00072E13" w:rsidRDefault="00072E13" w:rsidP="00072E13">
      <w:pPr>
        <w:ind w:leftChars="300" w:left="630"/>
        <w:rPr>
          <w:rFonts w:ascii="楷体" w:eastAsia="楷体" w:hAnsi="楷体"/>
          <w:color w:val="000000" w:themeColor="text1"/>
          <w:sz w:val="24"/>
          <w:szCs w:val="24"/>
        </w:rPr>
      </w:pPr>
    </w:p>
    <w:p w:rsidR="00127803" w:rsidRPr="00127803" w:rsidRDefault="00072E13" w:rsidP="00072E13">
      <w:pPr>
        <w:ind w:leftChars="300" w:left="630"/>
        <w:rPr>
          <w:rFonts w:ascii="楷体" w:eastAsia="楷体" w:hAnsi="楷体"/>
          <w:color w:val="000000" w:themeColor="text1"/>
          <w:sz w:val="24"/>
          <w:szCs w:val="24"/>
        </w:rPr>
      </w:pPr>
      <w:r w:rsidRPr="00072E13">
        <w:rPr>
          <w:rFonts w:ascii="楷体" w:eastAsia="楷体" w:hAnsi="楷体" w:hint="eastAsia"/>
          <w:color w:val="000000" w:themeColor="text1"/>
          <w:sz w:val="24"/>
          <w:szCs w:val="24"/>
        </w:rPr>
        <w:t>综述：上周五美元指数止跌反弹，降息预期有所消化，国内经济数据整体好于预期，地产边际转好，但持续性仍待观察，短期内外宏观情绪偏乐观。基本面，期货月差坚挺，上海地区现货转为贴水，下游消费表现不佳，但低库存逻辑仍存。铜价延续高位运行，主波动区间参考67500-69500。择高卖出虚值看涨期权，行权价参考70000一线</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53789751"/>
      <w:r>
        <w:rPr>
          <w:rFonts w:ascii="楷体" w:eastAsia="楷体" w:hAnsi="楷体" w:hint="eastAsia"/>
          <w:b/>
          <w:color w:val="000000" w:themeColor="text1"/>
          <w:sz w:val="24"/>
          <w:szCs w:val="24"/>
        </w:rPr>
        <w:t>铝：</w:t>
      </w:r>
      <w:bookmarkEnd w:id="27"/>
      <w:bookmarkEnd w:id="28"/>
      <w:r w:rsidR="00072E13" w:rsidRPr="00072E13">
        <w:rPr>
          <w:rFonts w:ascii="楷体" w:eastAsia="楷体" w:hAnsi="楷体" w:hint="eastAsia"/>
          <w:b/>
          <w:color w:val="000000" w:themeColor="text1"/>
          <w:sz w:val="24"/>
          <w:szCs w:val="24"/>
        </w:rPr>
        <w:t>宏观利多叠加低库存支撑铝价偏强运行</w:t>
      </w:r>
      <w:bookmarkEnd w:id="29"/>
    </w:p>
    <w:p w:rsidR="003F56A5" w:rsidRDefault="00072E13" w:rsidP="00127803">
      <w:pPr>
        <w:ind w:leftChars="300" w:left="630"/>
        <w:rPr>
          <w:rFonts w:ascii="楷体" w:eastAsia="楷体" w:hAnsi="楷体"/>
          <w:color w:val="000000" w:themeColor="text1"/>
          <w:sz w:val="24"/>
          <w:szCs w:val="24"/>
        </w:rPr>
      </w:pPr>
      <w:r w:rsidRPr="00072E13">
        <w:rPr>
          <w:rFonts w:ascii="楷体" w:eastAsia="楷体" w:hAnsi="楷体" w:hint="eastAsia"/>
          <w:color w:val="000000" w:themeColor="text1"/>
          <w:sz w:val="24"/>
          <w:szCs w:val="24"/>
        </w:rPr>
        <w:t>美联储12月会议维持利率不变，暂停加息符合市场预期，联储发言偏鸽。国内11月CPI数据同比下行，引发市场对国内降息的积极政策预期，海内外宏观情绪提振带动市场信心上行。产量产能维持高位，库存持续去库。前期云南减产完成后，供应端进入短暂的平稳运行期，电解铝运行产能维持相对高位，进口盈 利窗口打开，进口锭持续补充国内市场。11月铝加工行业开工率上行，淡季消费不淡，在途运输延迟叠加冬季下游逢低补库，铝市社会库存 大幅降库。铝市交割临近，在途货物较多，流动货源偏紧，低库存现状支撑近月合约价格偏强运行</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53789752"/>
      <w:r>
        <w:rPr>
          <w:rFonts w:ascii="楷体" w:eastAsia="楷体" w:hAnsi="楷体" w:hint="eastAsia"/>
          <w:b/>
          <w:color w:val="000000" w:themeColor="text1"/>
          <w:sz w:val="24"/>
          <w:szCs w:val="24"/>
        </w:rPr>
        <w:t>锌：</w:t>
      </w:r>
      <w:r w:rsidR="00632593" w:rsidRPr="00632593">
        <w:rPr>
          <w:rFonts w:ascii="楷体" w:eastAsia="楷体" w:hAnsi="楷体" w:hint="eastAsia"/>
          <w:b/>
          <w:color w:val="000000" w:themeColor="text1"/>
          <w:sz w:val="24"/>
          <w:szCs w:val="24"/>
        </w:rPr>
        <w:t>低库存及成本支撑锌价</w:t>
      </w:r>
      <w:bookmarkEnd w:id="30"/>
    </w:p>
    <w:p w:rsidR="003F56A5" w:rsidRDefault="00632593" w:rsidP="000B0648">
      <w:pPr>
        <w:ind w:leftChars="300" w:left="630"/>
        <w:rPr>
          <w:rFonts w:ascii="楷体" w:eastAsia="楷体" w:hAnsi="楷体"/>
          <w:color w:val="000000" w:themeColor="text1"/>
          <w:sz w:val="24"/>
          <w:szCs w:val="24"/>
        </w:rPr>
      </w:pPr>
      <w:r w:rsidRPr="00632593">
        <w:rPr>
          <w:rFonts w:ascii="楷体" w:eastAsia="楷体" w:hAnsi="楷体" w:hint="eastAsia"/>
          <w:color w:val="000000" w:themeColor="text1"/>
          <w:sz w:val="24"/>
          <w:szCs w:val="24"/>
        </w:rPr>
        <w:lastRenderedPageBreak/>
        <w:t>宏观情绪偏多，进口利润窗口再度关闭，进口锌补充有限，国内精炼锌产量高位，供应短期依旧维持偏多，需求端表现疲弱，镀锌开工因环保要求及终端应用景气度较差等原因有所下降，前期锌价下跌触及成本支撑，低库存现状维持，价格有望反弹</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53789753"/>
      <w:r>
        <w:rPr>
          <w:rFonts w:ascii="楷体" w:eastAsia="楷体" w:hAnsi="楷体" w:hint="eastAsia"/>
          <w:b/>
          <w:color w:val="000000" w:themeColor="text1"/>
          <w:sz w:val="24"/>
          <w:szCs w:val="24"/>
        </w:rPr>
        <w:t>镍：</w:t>
      </w:r>
      <w:r w:rsidR="00072E13" w:rsidRPr="00072E13">
        <w:rPr>
          <w:rFonts w:ascii="楷体" w:eastAsia="楷体" w:hAnsi="楷体" w:hint="eastAsia"/>
          <w:b/>
          <w:color w:val="000000" w:themeColor="text1"/>
          <w:sz w:val="24"/>
          <w:szCs w:val="24"/>
        </w:rPr>
        <w:t>暖风袭来，但基本面弱势仍存</w:t>
      </w:r>
      <w:bookmarkEnd w:id="31"/>
    </w:p>
    <w:p w:rsidR="003F56A5" w:rsidRDefault="00072E13">
      <w:pPr>
        <w:ind w:leftChars="300" w:left="630"/>
        <w:rPr>
          <w:rFonts w:ascii="楷体" w:eastAsia="楷体" w:hAnsi="楷体"/>
          <w:color w:val="000000" w:themeColor="text1"/>
          <w:sz w:val="24"/>
          <w:szCs w:val="24"/>
        </w:rPr>
      </w:pPr>
      <w:r w:rsidRPr="00072E13">
        <w:rPr>
          <w:rFonts w:ascii="楷体" w:eastAsia="楷体" w:hAnsi="楷体" w:hint="eastAsia"/>
          <w:color w:val="000000" w:themeColor="text1"/>
          <w:sz w:val="24"/>
          <w:szCs w:val="24"/>
        </w:rPr>
        <w:t>宏观面，美国12月利率决议鸽声嘹亮，宏观情绪偏利多。成本端，镍矿供需双弱，且受到镍铁厂压价，预计矿价维持弱势；镍铁价格暂时企稳，成交略有改善；硫酸镍处于原料宽松、需求萎靡、年底资金占用压力大的境况，但价格已破成本线，预计短期内价格弱稳为主。供应端，12月精炼镍产量环比增加，镍供应过剩压力持续。需求端，部分不锈钢厂开始复产，对镍需求有边际好转；三元材料仍肩负减产去库压力，对镍需求持续下降；合金和电镀对镍需求表现平稳，但需求量级有限。库存端，海内外镍库存维持累库趋势。综合而言，宏观情绪偏多，但从基本面来看，成本支撑偏弱，供强需弱格局不改，海内外库存持续累库，给镍价带来压力。镍价暂无明显上行驱动，预计短期内维持偏弱震荡筑底</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53789754"/>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53789755"/>
      <w:r>
        <w:rPr>
          <w:rFonts w:ascii="楷体" w:eastAsia="楷体" w:hAnsi="楷体" w:hint="eastAsia"/>
          <w:b/>
          <w:color w:val="000000" w:themeColor="text1"/>
          <w:sz w:val="24"/>
          <w:szCs w:val="24"/>
        </w:rPr>
        <w:t>不锈钢：</w:t>
      </w:r>
      <w:r w:rsidR="00072E13" w:rsidRPr="00072E13">
        <w:rPr>
          <w:rFonts w:ascii="楷体" w:eastAsia="楷体" w:hAnsi="楷体" w:hint="eastAsia"/>
          <w:b/>
          <w:color w:val="000000" w:themeColor="text1"/>
          <w:sz w:val="24"/>
          <w:szCs w:val="24"/>
        </w:rPr>
        <w:t>暂无明显上行驱动，或窄幅震荡偏强</w:t>
      </w:r>
      <w:bookmarkEnd w:id="33"/>
    </w:p>
    <w:p w:rsidR="003F56A5" w:rsidRDefault="00072E13" w:rsidP="001529BB">
      <w:pPr>
        <w:ind w:leftChars="300" w:left="630"/>
        <w:rPr>
          <w:rFonts w:ascii="楷体" w:eastAsia="楷体" w:hAnsi="楷体"/>
          <w:color w:val="000000" w:themeColor="text1"/>
          <w:sz w:val="24"/>
          <w:szCs w:val="24"/>
        </w:rPr>
      </w:pPr>
      <w:r w:rsidRPr="00072E13">
        <w:rPr>
          <w:rFonts w:ascii="楷体" w:eastAsia="楷体" w:hAnsi="楷体" w:hint="eastAsia"/>
          <w:color w:val="000000" w:themeColor="text1"/>
          <w:sz w:val="24"/>
          <w:szCs w:val="24"/>
        </w:rPr>
        <w:t>宏观方面，市场对美联储利率决议解读为鸽声嘹亮，宏观情绪偏暖。成本方面，镍矿呈现供需双弱格局，受到镍铁厂压价，预计矿价维持弱势。镍铁价格暂时企稳，成交略有改善。高碳铬铁供应偏紧，且原料焦炭价格上涨拉升成本，价格稳中偏强运行。供应端，不锈钢厂在12月开工率有所上升，供应维持过剩宽松格局。需求端，目前为不锈钢传统淡季，部分厂家在年底资金压力下低价出货，但下游成交氛围未有明显改善，需求整体维持疲弱，持续压制不锈钢价。综合而言，宏观情绪偏暖，成本支撑有所好转，为不锈钢价带来一定支撑，然而，供应维持过剩状态，传统淡季叠加经济内生修复动力偏弱，年内需求难有明显起色，给不锈钢价带来拖累，不锈钢或窄幅震荡偏强运行。持续关注原料价格走势</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53789756"/>
      <w:r>
        <w:rPr>
          <w:rFonts w:ascii="楷体" w:eastAsia="楷体" w:hAnsi="楷体" w:hint="eastAsia"/>
          <w:b/>
          <w:color w:val="000000" w:themeColor="text1"/>
          <w:sz w:val="24"/>
          <w:szCs w:val="24"/>
        </w:rPr>
        <w:t>工业硅：</w:t>
      </w:r>
      <w:r w:rsidR="00072E13" w:rsidRPr="00072E13">
        <w:rPr>
          <w:rFonts w:ascii="楷体" w:eastAsia="楷体" w:hAnsi="楷体" w:hint="eastAsia"/>
          <w:b/>
          <w:sz w:val="24"/>
          <w:szCs w:val="24"/>
        </w:rPr>
        <w:t>西南维持季节性减产，短期或震荡为主</w:t>
      </w:r>
      <w:bookmarkEnd w:id="34"/>
    </w:p>
    <w:p w:rsidR="003F56A5" w:rsidRDefault="00072E13" w:rsidP="00827E8A">
      <w:pPr>
        <w:ind w:leftChars="300" w:left="630"/>
        <w:rPr>
          <w:rFonts w:ascii="楷体" w:eastAsia="楷体" w:hAnsi="楷体"/>
          <w:sz w:val="24"/>
          <w:szCs w:val="24"/>
        </w:rPr>
      </w:pPr>
      <w:r w:rsidRPr="00072E13">
        <w:rPr>
          <w:rFonts w:ascii="楷体" w:eastAsia="楷体" w:hAnsi="楷体" w:hint="eastAsia"/>
          <w:sz w:val="24"/>
          <w:szCs w:val="24"/>
        </w:rPr>
        <w:lastRenderedPageBreak/>
        <w:t>12月15日，Si2402主力合约有所反弹，收盘价13810元/吨，较上一收盘价涨跌幅+0.44%。供应方面，西南地区减停产规模进一步扩大，北方地区产能稳步推进复产，供应短期暂难出现短缺;需求方面，多晶硅市场延续偏弱，但有逐步企稳迹象，新增产能陆续投放，当前未有新停产检修计划。而有机硅、铝合金进入淡季，以刚需采购为主。整体来看，西南仍有减产预期，成本支撑或逐步显现，但北方高开工下，以及需求暂无明显改善，暂难造成供应短缺局面，短期或震荡为主。策略上，可尝试波段操作，主力合约参考区间（13500，14000）</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53789757"/>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3C4855" w:rsidRDefault="00CC3FFA" w:rsidP="003C4855">
      <w:pPr>
        <w:ind w:firstLineChars="200" w:firstLine="482"/>
        <w:outlineLvl w:val="1"/>
        <w:rPr>
          <w:rFonts w:ascii="楷体" w:eastAsia="楷体" w:hAnsi="楷体"/>
          <w:b/>
          <w:sz w:val="24"/>
          <w:szCs w:val="24"/>
        </w:rPr>
      </w:pPr>
      <w:bookmarkStart w:id="37" w:name="_Toc153789758"/>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072E13" w:rsidRPr="00072E13">
        <w:rPr>
          <w:rFonts w:ascii="楷体" w:eastAsia="楷体" w:hAnsi="楷体" w:hint="eastAsia"/>
          <w:b/>
          <w:sz w:val="24"/>
          <w:szCs w:val="24"/>
        </w:rPr>
        <w:t>东南亚主产区逐渐上量 天然橡胶仍有下行风险</w:t>
      </w:r>
      <w:bookmarkEnd w:id="37"/>
    </w:p>
    <w:p w:rsidR="003F56A5" w:rsidRDefault="00072E13">
      <w:pPr>
        <w:ind w:leftChars="300" w:left="630"/>
        <w:rPr>
          <w:rFonts w:ascii="楷体" w:eastAsia="楷体" w:hAnsi="楷体"/>
          <w:sz w:val="24"/>
          <w:szCs w:val="24"/>
        </w:rPr>
      </w:pPr>
      <w:r w:rsidRPr="00072E13">
        <w:rPr>
          <w:rFonts w:ascii="楷体" w:eastAsia="楷体" w:hAnsi="楷体" w:hint="eastAsia"/>
          <w:sz w:val="24"/>
          <w:szCs w:val="24"/>
        </w:rPr>
        <w:t>点评：短时天然橡胶市场处于区间调整阶段，仍有走低风险。供应方面，短时国内产区陆续停割与海外雨季结束逐渐上量预期相互博弈，上游生产利润已处低位，原料收购价格松动空间有限。库存方面，随着海外订单陆续到港，逢下游工厂出货淡季，港口库存继续降库幅度受到压制，供需压制仍存。需求端来看，半钢胎样本企业外贸订单充足，且部分企业排产2024年订单。全钢胎样本企业出货偏慢，整体库存继续提升。终端汽车方面，10月数据同环比继续走强，汽车消费旺季来临市场景气度高。整体看，本轮下跌其实早有征兆，上一波上涨期间出现头肩形与顶背离情况。早前橡胶已回吐近50%的涨幅，近期一度呈现超跌反弹。但在无明显利好推动下，天然橡胶市场仍有下行风险</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53789759"/>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072E13" w:rsidRPr="00072E13">
        <w:rPr>
          <w:rFonts w:ascii="Calibri" w:eastAsia="楷体" w:hAnsi="Calibri" w:cs="Calibri" w:hint="eastAsia"/>
          <w:b/>
          <w:color w:val="000000" w:themeColor="text1"/>
          <w:sz w:val="24"/>
          <w:szCs w:val="24"/>
        </w:rPr>
        <w:t>短线跟随成本端波动</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072E13" w:rsidP="002C73FE">
      <w:pPr>
        <w:ind w:leftChars="300" w:left="630"/>
        <w:rPr>
          <w:rFonts w:ascii="楷体" w:eastAsia="楷体" w:hAnsi="楷体"/>
          <w:color w:val="000000" w:themeColor="text1"/>
          <w:sz w:val="24"/>
          <w:szCs w:val="24"/>
        </w:rPr>
      </w:pPr>
      <w:r w:rsidRPr="00072E13">
        <w:rPr>
          <w:rFonts w:ascii="楷体" w:eastAsia="楷体" w:hAnsi="楷体" w:hint="eastAsia"/>
          <w:color w:val="000000" w:themeColor="text1"/>
          <w:sz w:val="24"/>
          <w:szCs w:val="24"/>
        </w:rPr>
        <w:t>成本端原油及PX方面，OPEC+会议之后减产不及预期，当前美国产量增加库存压力背景下叠加俄罗斯取消石油出口关税，原油基本面偏空。PX方面，调油逻辑弱化后近期在高开工下，市场货源相对宽裕，PX整体承压为主，短期价格难有明显的修复。本周福海创450万吨、逸盛大化600万吨负荷提升，威联化学重启，恒力惠州恢复正常，个别装置短停。PTA负荷涨至83.9%（+6.5%）。本周萧山75万吨聚酯装置停车，综合负荷有所下滑；另外新疆一套聚酯新装置开启，暂时生产聚酯切片，后续将陆续配套聚酯瓶片。截至12.15，初步核算国内大陆地区聚酯负荷在89.9%（-1%）。但织造新订单已经持续两周偏弱，工厂逐步开始降负运行。综合来看，PTA高加工费下存量装置检修重启及12月前后新增产能投放，TA供应充足。下游聚酯负荷目前虽然仍维持在89-90%，但后续存终端订单减少及产成品库存累库的负反馈压力。PTA短期面临成本支撑弱化及供需弱势预期共振，关注5600附近支撑位。仅供参考</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7B681E" w:rsidRDefault="00CC3FFA" w:rsidP="007B681E">
      <w:pPr>
        <w:ind w:leftChars="200" w:left="420"/>
        <w:outlineLvl w:val="1"/>
        <w:rPr>
          <w:rFonts w:ascii="楷体" w:eastAsia="楷体" w:hAnsi="楷体"/>
          <w:b/>
          <w:color w:val="000000" w:themeColor="text1"/>
          <w:sz w:val="24"/>
          <w:szCs w:val="24"/>
        </w:rPr>
      </w:pPr>
      <w:bookmarkStart w:id="39" w:name="_Toc153789760"/>
      <w:r>
        <w:rPr>
          <w:rFonts w:ascii="楷体" w:eastAsia="楷体" w:hAnsi="楷体" w:hint="eastAsia"/>
          <w:b/>
          <w:color w:val="000000" w:themeColor="text1"/>
          <w:sz w:val="24"/>
          <w:szCs w:val="24"/>
        </w:rPr>
        <w:t>聚烯烃：</w:t>
      </w:r>
      <w:r w:rsidR="00072E13" w:rsidRPr="00072E13">
        <w:rPr>
          <w:rFonts w:ascii="楷体" w:eastAsia="楷体" w:hAnsi="楷体" w:hint="eastAsia"/>
          <w:b/>
          <w:color w:val="000000" w:themeColor="text1"/>
          <w:sz w:val="24"/>
          <w:szCs w:val="24"/>
        </w:rPr>
        <w:t>下游有进一步走弱的预期 聚烯烃维持低位震荡</w:t>
      </w:r>
      <w:bookmarkEnd w:id="39"/>
    </w:p>
    <w:p w:rsidR="003F56A5" w:rsidRDefault="00072E13">
      <w:pPr>
        <w:ind w:leftChars="300" w:left="630"/>
        <w:rPr>
          <w:rFonts w:ascii="楷体" w:eastAsia="楷体" w:hAnsi="楷体"/>
          <w:bCs/>
          <w:sz w:val="24"/>
          <w:szCs w:val="24"/>
        </w:rPr>
      </w:pPr>
      <w:r w:rsidRPr="00072E13">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w:t>
      </w:r>
      <w:r w:rsidRPr="00072E13">
        <w:rPr>
          <w:rFonts w:ascii="楷体" w:eastAsia="楷体" w:hAnsi="楷体" w:hint="eastAsia"/>
          <w:color w:val="000000" w:themeColor="text1"/>
          <w:sz w:val="24"/>
          <w:szCs w:val="24"/>
        </w:rPr>
        <w:lastRenderedPageBreak/>
        <w:t>成本方面，市场担心需求减弱及质疑欧佩克减产，加之美联储降息时间不确定导致美元汇率反弹，国际油价盘中跌宕起伏后略收低，单周两个月来首次略涨。需求方面，PE下游方面，农膜整体需求平平，工厂生产清淡，棚膜工厂多停机检修；PP下，游方面，BOPP市场成交刚需有量，整体量较上一交易日增加，BOPP企业未交付订单多数在一周以内。综合来看，PE供应维持偏高水平，PP装置检修规模有所增加，供应压力略有缓解，下游工厂订单跟进不足，采购积极性不佳，刚需采购为主，且后期需求有继续走弱预期，整体来看，聚烯烃供需偏宽松。聚烯烃供强需弱格局下，驱动较弱，建议逢高做空</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0" w:name="_Toc153789761"/>
      <w:r>
        <w:rPr>
          <w:rFonts w:ascii="楷体" w:eastAsia="楷体" w:hAnsi="楷体" w:hint="eastAsia"/>
          <w:b/>
          <w:color w:val="000000" w:themeColor="text1"/>
          <w:sz w:val="24"/>
          <w:szCs w:val="24"/>
        </w:rPr>
        <w:t>MEG：</w:t>
      </w:r>
      <w:r w:rsidR="00072E13" w:rsidRPr="00072E13">
        <w:rPr>
          <w:rFonts w:ascii="楷体" w:eastAsia="楷体" w:hAnsi="楷体" w:hint="eastAsia"/>
          <w:b/>
          <w:color w:val="000000" w:themeColor="text1"/>
          <w:sz w:val="24"/>
          <w:szCs w:val="24"/>
        </w:rPr>
        <w:t>供需格局转好 乙二醇短期震荡偏强</w:t>
      </w:r>
      <w:bookmarkEnd w:id="40"/>
    </w:p>
    <w:p w:rsidR="003F56A5" w:rsidRDefault="00072E13" w:rsidP="00152664">
      <w:pPr>
        <w:ind w:leftChars="300" w:left="630"/>
        <w:rPr>
          <w:rFonts w:ascii="楷体" w:eastAsia="楷体" w:hAnsi="楷体"/>
          <w:color w:val="000000" w:themeColor="text1"/>
          <w:sz w:val="24"/>
          <w:szCs w:val="24"/>
        </w:rPr>
      </w:pPr>
      <w:r w:rsidRPr="00072E13">
        <w:rPr>
          <w:rFonts w:ascii="楷体" w:eastAsia="楷体" w:hAnsi="楷体" w:hint="eastAsia"/>
          <w:color w:val="000000" w:themeColor="text1"/>
          <w:sz w:val="24"/>
          <w:szCs w:val="24"/>
        </w:rPr>
        <w:t>供需情况，12.14华东主港地区MEG港口库存约113.62万吨附近，环比上期-5.23万吨。12月11日-12月17日，张家港到货数量约为3（-1.6）万吨，太仓码头到货数量约为4.3（-0.2）万吨。截至12月14日，中国大陆地区乙二醇整体开工负荷在59.52%（-2.13%），其中煤制乙二醇开工负荷在58.39%（-6.21%）。</w:t>
      </w:r>
      <w:r w:rsidRPr="00072E13">
        <w:rPr>
          <w:rFonts w:ascii="Calibri" w:eastAsia="楷体" w:hAnsi="Calibri" w:cs="Calibri"/>
          <w:color w:val="000000" w:themeColor="text1"/>
          <w:sz w:val="24"/>
          <w:szCs w:val="24"/>
        </w:rPr>
        <w:t> </w:t>
      </w:r>
      <w:r w:rsidRPr="00072E13">
        <w:rPr>
          <w:rFonts w:ascii="楷体" w:eastAsia="楷体" w:hAnsi="楷体" w:hint="eastAsia"/>
          <w:color w:val="000000" w:themeColor="text1"/>
          <w:sz w:val="24"/>
          <w:szCs w:val="24"/>
        </w:rPr>
        <w:t>新疆中昆60万吨/年新装置顺利出料，目前逐步提负中</w:t>
      </w:r>
      <w:r w:rsidRPr="00072E13">
        <w:rPr>
          <w:rFonts w:ascii="Calibri" w:eastAsia="楷体" w:hAnsi="Calibri" w:cs="Calibri"/>
          <w:color w:val="000000" w:themeColor="text1"/>
          <w:sz w:val="24"/>
          <w:szCs w:val="24"/>
        </w:rPr>
        <w:t> </w:t>
      </w:r>
      <w:r w:rsidRPr="00072E13">
        <w:rPr>
          <w:rFonts w:ascii="楷体" w:eastAsia="楷体" w:hAnsi="楷体" w:hint="eastAsia"/>
          <w:color w:val="000000" w:themeColor="text1"/>
          <w:sz w:val="24"/>
          <w:szCs w:val="24"/>
        </w:rPr>
        <w:t>。截至12月14日，国内大陆地区聚酯负荷在89.9%，节前聚酯开工高位维持。终端来看，新订单持续性不足，江浙终端开工率继续下降，江浙加弹综合开工87%（-3%）维持，江浙织机综合开工小幅下滑至78%（-4%），江浙印染综合开工下滑至77%（-1%）。综合来看，近期聚酯高开工维持，乙二醇供需格局转好、低估值及进口到港减少，预计12月乙二醇供需改善呈现紧平衡格局。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Pr="0008229A" w:rsidRDefault="0079299D" w:rsidP="0008229A">
      <w:pPr>
        <w:ind w:leftChars="200" w:left="420"/>
        <w:outlineLvl w:val="1"/>
        <w:rPr>
          <w:rFonts w:ascii="楷体" w:eastAsia="楷体" w:hAnsi="楷体"/>
          <w:b/>
          <w:color w:val="000000" w:themeColor="text1"/>
          <w:sz w:val="24"/>
          <w:szCs w:val="24"/>
        </w:rPr>
      </w:pPr>
      <w:bookmarkStart w:id="41" w:name="_Toc153789762"/>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072E13" w:rsidRPr="00072E13">
        <w:rPr>
          <w:rFonts w:ascii="楷体" w:eastAsia="楷体" w:hAnsi="楷体" w:hint="eastAsia"/>
          <w:b/>
          <w:color w:val="000000" w:themeColor="text1"/>
          <w:sz w:val="24"/>
          <w:szCs w:val="24"/>
        </w:rPr>
        <w:t>产销快速走弱，期价承压</w:t>
      </w:r>
      <w:bookmarkEnd w:id="41"/>
    </w:p>
    <w:p w:rsidR="00A71A7E" w:rsidRDefault="00072E13" w:rsidP="00632593">
      <w:pPr>
        <w:ind w:leftChars="300" w:left="630"/>
        <w:rPr>
          <w:rFonts w:ascii="楷体" w:eastAsia="楷体" w:hAnsi="楷体"/>
          <w:color w:val="000000" w:themeColor="text1"/>
          <w:sz w:val="24"/>
          <w:szCs w:val="24"/>
        </w:rPr>
      </w:pPr>
      <w:r w:rsidRPr="00072E13">
        <w:rPr>
          <w:rFonts w:ascii="楷体" w:eastAsia="楷体" w:hAnsi="楷体" w:hint="eastAsia"/>
          <w:color w:val="000000" w:themeColor="text1"/>
          <w:sz w:val="24"/>
          <w:szCs w:val="24"/>
        </w:rPr>
        <w:t>玻璃目前处于政策预期兑现后的真空期。上半月中央经济工作会议为明年定调，政策预期较强，盘面先行上涨，带动华中和华北地区现货上涨。临 近月中，地产端并无更加强力的政策刺激，前期政策强预期证伪，盘面开始回落。从现货端看，南方地区年底赶工相对产销较好，北方地区受寒潮 影响实际需求下行，基本面走弱。05合约目前尚在预期兑现后的真空期，期价有回调压力，弱势震荡，操作上，建议以区间操作为主，等待新的驱 动形成。参考区间(1750，1900)</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Pr="009D2D8B" w:rsidRDefault="0079299D" w:rsidP="009D2D8B">
      <w:pPr>
        <w:ind w:leftChars="200" w:left="420"/>
        <w:outlineLvl w:val="1"/>
        <w:rPr>
          <w:rFonts w:ascii="楷体" w:eastAsia="楷体" w:hAnsi="楷体"/>
          <w:b/>
          <w:color w:val="000000" w:themeColor="text1"/>
          <w:sz w:val="24"/>
          <w:szCs w:val="24"/>
        </w:rPr>
      </w:pPr>
      <w:bookmarkStart w:id="42" w:name="_Toc153789763"/>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072E13" w:rsidRPr="00072E13">
        <w:rPr>
          <w:rFonts w:ascii="楷体" w:eastAsia="楷体" w:hAnsi="楷体" w:hint="eastAsia"/>
          <w:b/>
          <w:color w:val="000000" w:themeColor="text1"/>
          <w:sz w:val="24"/>
          <w:szCs w:val="24"/>
        </w:rPr>
        <w:t>供给反复扰动，宽幅震荡</w:t>
      </w:r>
      <w:bookmarkEnd w:id="42"/>
    </w:p>
    <w:p w:rsidR="00A71A7E" w:rsidRDefault="00072E13" w:rsidP="002B2B4E">
      <w:pPr>
        <w:ind w:leftChars="300" w:left="630"/>
        <w:rPr>
          <w:rFonts w:ascii="楷体" w:eastAsia="楷体" w:hAnsi="楷体"/>
          <w:bCs/>
          <w:sz w:val="24"/>
          <w:szCs w:val="24"/>
        </w:rPr>
      </w:pPr>
      <w:r w:rsidRPr="00072E13">
        <w:rPr>
          <w:rFonts w:ascii="楷体" w:eastAsia="楷体" w:hAnsi="楷体" w:hint="eastAsia"/>
          <w:color w:val="000000" w:themeColor="text1"/>
          <w:sz w:val="24"/>
          <w:szCs w:val="24"/>
        </w:rPr>
        <w:t>当前纯碱仍处于低库存状态，供给端由于周内短停和检修因素，回升速度较慢，目前来看远兴3线仍未稳定出成品，青海地区环保限产，月底还有检 修和恢复并存，产量短期难以大幅提升。从库存结构上来看，厂库仍处于低位，周内轻碱去库幅度较大，重碱基本满足需求。现货端碱厂目前不再 封单，待发订单截至月底，短期价格稳价为主，贸易商开始降价。盘面上，周内受现货见顶影响，05合约开始回落，远月深度贴水+低库存下多空 博弈加剧，而远月随着需求的回落和进口碱的到港，现货降价预期较强，短期盘面进入高位震荡时期。操作上建议等待累库信号或者现货降价出现 后再逢高沽空，短线建议观望。主力参考区间(2050，2300)</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lastRenderedPageBreak/>
        <w:t xml:space="preserve"> </w:t>
      </w:r>
      <w:bookmarkStart w:id="43" w:name="_Toc153789764"/>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3"/>
    </w:p>
    <w:p w:rsidR="003F56A5" w:rsidRDefault="00147B03">
      <w:pPr>
        <w:ind w:leftChars="200" w:left="420"/>
        <w:outlineLvl w:val="1"/>
        <w:rPr>
          <w:rFonts w:ascii="楷体" w:eastAsia="楷体" w:hAnsi="楷体"/>
          <w:b/>
          <w:sz w:val="24"/>
          <w:szCs w:val="24"/>
        </w:rPr>
      </w:pPr>
      <w:bookmarkStart w:id="44" w:name="_Toc153789765"/>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072E13" w:rsidRPr="00072E13">
        <w:rPr>
          <w:rFonts w:ascii="楷体" w:eastAsia="楷体" w:hAnsi="楷体" w:hint="eastAsia"/>
          <w:b/>
          <w:sz w:val="24"/>
          <w:szCs w:val="24"/>
        </w:rPr>
        <w:t>南美天气不稳定，期价震荡运行</w:t>
      </w:r>
      <w:bookmarkEnd w:id="44"/>
    </w:p>
    <w:p w:rsidR="003F56A5" w:rsidRDefault="00072E13">
      <w:pPr>
        <w:ind w:leftChars="300" w:left="630"/>
        <w:rPr>
          <w:rFonts w:ascii="楷体" w:eastAsia="楷体" w:hAnsi="楷体"/>
          <w:sz w:val="24"/>
          <w:szCs w:val="24"/>
        </w:rPr>
      </w:pPr>
      <w:r w:rsidRPr="00072E13">
        <w:rPr>
          <w:rFonts w:ascii="楷体" w:eastAsia="楷体" w:hAnsi="楷体" w:hint="eastAsia"/>
          <w:sz w:val="24"/>
          <w:szCs w:val="24"/>
        </w:rPr>
        <w:t>美豆需求良好叠加美元下跌提振，CBOT大豆继续收涨，但巴西干旱产区降水预报仍构成压力。随着美豆定产后，市场定价中心逐步转向南美，巴西天气不确定性较大，目前种植进度落后于去年同期及五年均值水平为91%，虽当前美农报告对南美产量调整不及预期，但中长期南美丰产预期能否兑现仍是后续价格走势的关键，关注巴西后续天气及种植情况，现阶段天气扰动较大。国内豆粕延续供强需弱格局，供应端进入11月份后，随着进口大豆到港增加，油厂大豆库存开始回升，油厂开机率提升，豆粕产出增加，但因下游成交未见明显好转，豆粕库存较前一周增至76.08万吨，当前沿海主流油厂豆粕现货报价下调至3900-4960元/吨。但11月份进口大豆到港不及预期，为792万吨，叠加近期华北延迟卸港问题，短期支撑油厂挺价情绪。需求，下游生猪养殖利润维持亏损，但在能繁存栏高位下，下游随采随用，保持安全库存。菜粕供应存宽松预期。在11月份后随着菜籽进口增加，菜粕供应预计转宽，目前菜籽库存以及油厂开机均有明显提升。而需求方面，随着水产消费旺季的结束，菜粕刚需减少，但在豆菜粕价差较大下提振菜粕的替代需求。策略方面，短期震荡调整，建议豆粕短线顺势操作，05暂看波动区间3350-3550，菜粕建议短线逢高空，近月压力仍较大，可关注3-5反套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5" w:name="_Toc153789766"/>
      <w:r>
        <w:rPr>
          <w:rFonts w:ascii="楷体" w:eastAsia="楷体" w:hAnsi="楷体" w:hint="eastAsia"/>
          <w:b/>
          <w:color w:val="000000" w:themeColor="text1"/>
          <w:sz w:val="24"/>
          <w:szCs w:val="24"/>
        </w:rPr>
        <w:t>油脂：</w:t>
      </w:r>
      <w:r w:rsidR="00072E13" w:rsidRPr="00072E13">
        <w:rPr>
          <w:rFonts w:ascii="楷体" w:eastAsia="楷体" w:hAnsi="楷体" w:hint="eastAsia"/>
          <w:b/>
          <w:sz w:val="24"/>
          <w:szCs w:val="24"/>
        </w:rPr>
        <w:t>支撑力度或不足，预计偏弱震荡</w:t>
      </w:r>
      <w:bookmarkEnd w:id="45"/>
    </w:p>
    <w:p w:rsidR="003F56A5" w:rsidRDefault="00072E13" w:rsidP="00792D31">
      <w:pPr>
        <w:ind w:leftChars="300" w:left="630"/>
        <w:rPr>
          <w:rFonts w:ascii="楷体" w:eastAsia="楷体" w:hAnsi="楷体"/>
          <w:sz w:val="24"/>
          <w:szCs w:val="24"/>
        </w:rPr>
      </w:pPr>
      <w:r w:rsidRPr="00072E13">
        <w:rPr>
          <w:rFonts w:ascii="楷体" w:eastAsia="楷体" w:hAnsi="楷体" w:hint="eastAsia"/>
          <w:sz w:val="24"/>
          <w:szCs w:val="24"/>
        </w:rPr>
        <w:t>在俄罗斯石油关税下调影响下，国际原油价格下跌，或拖累内盘油脂，叠加国内高库存压制，油脂上方压力仍较大。棕榈油，产地11月份进入季节性减产周期，库存压力逐步释放，但中长期在厄尔尼诺现象扰动下，价格下方存支撑，天气仍需持续关注。印尼棕榈油9月份产需双增，但产量增幅不及需求，库存环比下降。而马棕11月份产需双降，因产量降幅略高于预期，库存降幅环比达1.09%，但产量降幅基本符合预期。四季度主要关注厄尔尼诺对产量的扰动，为中长期潜在利多驱动。国内棕榈油9-10月份进口到港维持高位，但在高库存抑制下后续进口预计减少，最新商业库存减至94.37万吨，库存逐步去化。需求端，因节前备货，叠加价格优势显著，提振下游采购需求。豆油存供需双增预期。国内随着11月后进口大豆到港增加，油厂开机有所回升，豆油供应预计将得到补充。需求端，虽四季度为豆油消费旺季，部分掺混需求预计转向豆油，但当前价格优势并不明显，限制替代需求，终端需求疲软，库存连续回升。菜油预计供需双旺。当前主产地菜籽新作处于出口阶段，集中上市压力也抑制期价走势。随着11月份后进口菜籽到港增加，菜籽开机及压榨水平提升，10月菜籽进口3.4万吨，环比减89%，四季度菜籽及菜油供给预期宽松。需求方面，与豆油价差持续收窄，部分地区出现与豆油价格平水情况，下游备货需求较好。短期油脂预计偏弱震荡，上方压力仍存，空单谨慎持有，暂看下方支撑；中长期关注天气及需求表现，维持谨慎看多观点，关注做多油粕比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6" w:name="_Toc153789767"/>
      <w:r>
        <w:rPr>
          <w:rFonts w:ascii="楷体" w:eastAsia="楷体" w:hAnsi="楷体" w:hint="eastAsia"/>
          <w:b/>
          <w:bCs/>
          <w:color w:val="000000" w:themeColor="text1"/>
        </w:rPr>
        <w:t>玉米与淀粉：</w:t>
      </w:r>
      <w:r w:rsidR="00072E13" w:rsidRPr="00072E13">
        <w:rPr>
          <w:rFonts w:ascii="楷体" w:eastAsia="楷体" w:hAnsi="楷体" w:hint="eastAsia"/>
          <w:b/>
        </w:rPr>
        <w:t>期现货延续弱势</w:t>
      </w:r>
      <w:bookmarkEnd w:id="46"/>
    </w:p>
    <w:p w:rsidR="00072E13" w:rsidRPr="00072E13" w:rsidRDefault="00072E13" w:rsidP="00072E13">
      <w:pPr>
        <w:pStyle w:val="paragraph"/>
        <w:spacing w:after="60"/>
        <w:ind w:leftChars="300" w:left="630"/>
        <w:rPr>
          <w:rFonts w:ascii="楷体" w:eastAsia="楷体" w:hAnsi="楷体" w:hint="eastAsia"/>
        </w:rPr>
      </w:pPr>
      <w:r w:rsidRPr="00072E13">
        <w:rPr>
          <w:rFonts w:ascii="楷体" w:eastAsia="楷体" w:hAnsi="楷体" w:hint="eastAsia"/>
        </w:rPr>
        <w:lastRenderedPageBreak/>
        <w:t>对于玉米而言，市场看空逻辑有二，中期来看，供应即产量增加的背景之下，市场预计需求特别是猪料下降，产需缺口收窄，当前期价所反映的是预期是不需要国产小麦和陈化水稻即可加以补充；短期来看，则是余粮压力背景之下，进口大量到港，而中下游建库意愿低迷，上游即农户需要低价售粮，让利于中下游。但持续下跌之后，风险亦随之而来，中期风险在于错判产需求缺口，其一方面源于内外价差收窄之后将抑制后期高粱和大麦进口，另一方面则在于市场可能低估了下游需求特别是饲用需求；短期风险则在于成本下方继续催生惜售心理，市场进一步压缩渠道库存，而春节前下游特别是饲料养殖行业需要备货。考虑到市场看空逻辑尚无法证伪，但存在较大风险，维持中性观点，后期或转向看多，建议投资者暂以观望为宜。</w:t>
      </w:r>
    </w:p>
    <w:p w:rsidR="003F56A5" w:rsidRDefault="00072E13" w:rsidP="00072E13">
      <w:pPr>
        <w:pStyle w:val="paragraph"/>
        <w:spacing w:before="0" w:beforeAutospacing="0" w:after="60" w:afterAutospacing="0"/>
        <w:ind w:leftChars="300" w:left="630"/>
        <w:rPr>
          <w:rFonts w:ascii="楷体" w:eastAsia="楷体" w:hAnsi="楷体"/>
        </w:rPr>
      </w:pPr>
      <w:r w:rsidRPr="00072E13">
        <w:rPr>
          <w:rFonts w:ascii="楷体" w:eastAsia="楷体" w:hAnsi="楷体" w:hint="eastAsia"/>
        </w:rPr>
        <w:t>对于淀粉而言，近期淀粉行业副产品端则相对利多，现货基差带来较大支撑，而行业供需端亦略有改善，最大的利空来自于原料成本端，在这种情况下，单边风险相对较大，而价差套利则值得考虑。在这种情况下，我们维持中性观点，单边建议暂以观望为宜，可轻仓参与淀粉-玉米价差走扩套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7" w:name="_Toc153789768"/>
      <w:r>
        <w:rPr>
          <w:rFonts w:ascii="楷体" w:eastAsia="楷体" w:hAnsi="楷体" w:hint="eastAsia"/>
          <w:b/>
          <w:bCs/>
          <w:color w:val="000000" w:themeColor="text1"/>
        </w:rPr>
        <w:t>畜禽养殖：</w:t>
      </w:r>
      <w:r w:rsidR="00072E13" w:rsidRPr="00072E13">
        <w:rPr>
          <w:rFonts w:ascii="楷体" w:eastAsia="楷体" w:hAnsi="楷体" w:hint="eastAsia"/>
          <w:b/>
          <w:bCs/>
          <w:color w:val="000000" w:themeColor="text1"/>
        </w:rPr>
        <w:t>生猪现货带动近月期价大幅反弹</w:t>
      </w:r>
      <w:bookmarkEnd w:id="47"/>
    </w:p>
    <w:p w:rsidR="00072E13" w:rsidRPr="00072E13" w:rsidRDefault="00072E13" w:rsidP="00072E13">
      <w:pPr>
        <w:pStyle w:val="paragraph"/>
        <w:spacing w:after="60"/>
        <w:ind w:leftChars="300" w:left="630"/>
        <w:rPr>
          <w:rFonts w:ascii="楷体" w:eastAsia="楷体" w:hAnsi="楷体" w:hint="eastAsia"/>
        </w:rPr>
      </w:pPr>
      <w:r w:rsidRPr="00072E13">
        <w:rPr>
          <w:rFonts w:ascii="楷体" w:eastAsia="楷体" w:hAnsi="楷体" w:hint="eastAsia"/>
        </w:rPr>
        <w:t>对于生猪而言，在前期报告中我们指出，分合约来看，近月即1月合约需要继续留意被动性出栏的情况，因从养殖利润和价差结构来看，主动提前出栏的积极性趋于下降，此外，需求端亦有可能趋于改善，因目前逐步进入春节前需求旺季，其反弹的可能性更大，但合约存续期相对受限。对于3月和5月合约而言，其不确定性主要源于生猪提前出栏的数量，参考农业农村部公布的季度末存栏和各家机构公布的出栏数据（商务部公布的规模以上屠宰企业屠宰量、涌益咨询公布的屠宰开机率和日度屠宰量）来看，3季度仔猪增量对应明年1季度出栏量依然较大。对于更远期合约而言，其不确定性则源于生猪产能去化的幅度， 其一可以参考去年现货崩盘后产能去化幅度，其二则是规模企业当前已公布的出栏目标。在近期现货大幅反弹之后，行业出栏积极性有望继续回升，而市场悲观氛围或再度来袭，这意味着短期期价或趋于回落或震荡调整，这个过程中需要特别留意现货和基差走势。综上所述，基于各合约不确定性的考虑，维持中性观点，建议投资者观望为宜。</w:t>
      </w:r>
    </w:p>
    <w:p w:rsidR="003F56A5" w:rsidRDefault="00072E13" w:rsidP="00072E13">
      <w:pPr>
        <w:pStyle w:val="paragraph"/>
        <w:spacing w:before="0" w:beforeAutospacing="0" w:after="60" w:afterAutospacing="0"/>
        <w:ind w:leftChars="300" w:left="630"/>
        <w:rPr>
          <w:rFonts w:ascii="楷体" w:eastAsia="楷体" w:hAnsi="楷体"/>
        </w:rPr>
      </w:pPr>
      <w:r w:rsidRPr="00072E13">
        <w:rPr>
          <w:rFonts w:ascii="楷体" w:eastAsia="楷体" w:hAnsi="楷体" w:hint="eastAsia"/>
        </w:rPr>
        <w:t>对于鸡蛋而言，从供需角度看，卓创资讯数据显示，在产蛋鸡存栏连续环比增加，考虑到今年节后以来蛋鸡苗销量均同比增加，而蛋鸡淘汰量持续处于历史低位水平，蛋鸡淘汰日龄则持续位于历史同期高位，由此可以看出，后期鸡蛋供需有望继续趋于改善，叠加整个动物蛋白供需过剩的大背景，鸡蛋期现货价格或仍有下跌空间。在这种情况下，接下来一方面需要留意养殖户淘汰和补栏积极性的变化，因其影响远期供需预期，另一方面需要留意行业现货库存变动，因其影响接下来特别是春节前后现货波动节奏。在这种情况下，市场将根据季节性旺季期间的现货表现来判断接下来特别是春节后的鸡蛋供需状况，另一个重要因素则是</w:t>
      </w:r>
      <w:r w:rsidRPr="00072E13">
        <w:rPr>
          <w:rFonts w:ascii="楷体" w:eastAsia="楷体" w:hAnsi="楷体" w:hint="eastAsia"/>
        </w:rPr>
        <w:lastRenderedPageBreak/>
        <w:t>短期的基差变动情况。在这种情况下，我们维持中性观点，建议投资者观望为宜</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8" w:name="_Toc153789769"/>
      <w:r>
        <w:rPr>
          <w:rFonts w:ascii="楷体" w:eastAsia="楷体" w:hAnsi="楷体" w:hint="eastAsia"/>
          <w:b/>
          <w:sz w:val="24"/>
          <w:szCs w:val="24"/>
        </w:rPr>
        <w:t>郑棉：</w:t>
      </w:r>
      <w:r w:rsidR="00072E13" w:rsidRPr="00072E13">
        <w:rPr>
          <w:rFonts w:ascii="楷体" w:eastAsia="楷体" w:hAnsi="楷体" w:hint="eastAsia"/>
          <w:b/>
          <w:sz w:val="24"/>
          <w:szCs w:val="24"/>
        </w:rPr>
        <w:t>区间弱势震荡整理</w:t>
      </w:r>
      <w:bookmarkEnd w:id="48"/>
    </w:p>
    <w:p w:rsidR="003F56A5" w:rsidRDefault="00072E13" w:rsidP="007B3290">
      <w:pPr>
        <w:ind w:leftChars="300" w:left="630"/>
        <w:rPr>
          <w:rFonts w:ascii="楷体" w:eastAsia="楷体" w:hAnsi="楷体"/>
          <w:sz w:val="24"/>
          <w:szCs w:val="24"/>
        </w:rPr>
      </w:pPr>
      <w:r w:rsidRPr="00072E13">
        <w:rPr>
          <w:rFonts w:ascii="楷体" w:eastAsia="楷体" w:hAnsi="楷体" w:hint="eastAsia"/>
          <w:sz w:val="24"/>
          <w:szCs w:val="24"/>
        </w:rPr>
        <w:t>随着前期棉花棉纱价格大幅下跌释放利空，近期下游形势略有好转，纺织企业开机率和布料企业开机率微升，纱线库存微降。但虽说这三项数据出现拐点，但整体而言开机率仍处低位，而纱线库存的消化也非短期可一蹴而就的事情，从11月棉纺PMI数据仍为历史性低位即可见一斑。郑棉仓单急速增加，仓单的激增和套保压力限制其反弹高度。预计短期40日均线处承压，05在15000-15500元/吨区间内震荡</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49" w:name="_Toc153789770"/>
      <w:r>
        <w:rPr>
          <w:rFonts w:ascii="楷体" w:eastAsia="楷体" w:hAnsi="楷体" w:hint="eastAsia"/>
          <w:b/>
          <w:sz w:val="24"/>
          <w:szCs w:val="24"/>
        </w:rPr>
        <w:t>白糖：</w:t>
      </w:r>
      <w:r w:rsidR="00072E13" w:rsidRPr="00072E13">
        <w:rPr>
          <w:rFonts w:ascii="楷体" w:eastAsia="楷体" w:hAnsi="楷体" w:hint="eastAsia"/>
          <w:b/>
          <w:sz w:val="24"/>
          <w:szCs w:val="24"/>
        </w:rPr>
        <w:t>震荡整理</w:t>
      </w:r>
      <w:bookmarkEnd w:id="49"/>
    </w:p>
    <w:p w:rsidR="00296325" w:rsidRDefault="00072E13" w:rsidP="00296325">
      <w:pPr>
        <w:ind w:leftChars="300" w:left="630"/>
        <w:rPr>
          <w:rFonts w:ascii="楷体" w:eastAsia="楷体" w:hAnsi="楷体"/>
          <w:sz w:val="24"/>
          <w:szCs w:val="24"/>
        </w:rPr>
      </w:pPr>
      <w:r w:rsidRPr="00072E13">
        <w:rPr>
          <w:rFonts w:ascii="楷体" w:eastAsia="楷体" w:hAnsi="楷体" w:hint="eastAsia"/>
          <w:sz w:val="24"/>
          <w:szCs w:val="24"/>
        </w:rPr>
        <w:t>咨询机构StoneX预计巴西中南部地区2024/25年度糖产量预计达到创纪录的4320万吨，较上年增长3.3%。巴西糖厂预计在2024/25年度将51.4%的甘蔗用于制糖，高于上年的49%。印度欲行政干预使得甘蔗用于生产白糖而非乙醇。国内新糖上市，传闻本榨季广西有望增产15%—20%。元旦和春节备货进行中，为国内糖价提供一定支撑</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0" w:name="_Toc153789771"/>
      <w:r>
        <w:rPr>
          <w:rFonts w:ascii="Times New Roman" w:eastAsia="楷体" w:hAnsi="Times New Roman" w:hint="eastAsia"/>
          <w:b/>
          <w:color w:val="823C0B"/>
          <w:sz w:val="30"/>
          <w:szCs w:val="30"/>
        </w:rPr>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0"/>
    </w:p>
    <w:p w:rsidR="00152664" w:rsidRDefault="00152664" w:rsidP="00152664">
      <w:pPr>
        <w:ind w:leftChars="200" w:left="420"/>
        <w:outlineLvl w:val="1"/>
        <w:rPr>
          <w:rFonts w:ascii="Times New Roman" w:eastAsia="楷体" w:hAnsi="Times New Roman"/>
          <w:b/>
          <w:color w:val="000000" w:themeColor="text1"/>
          <w:sz w:val="24"/>
          <w:szCs w:val="24"/>
        </w:rPr>
      </w:pPr>
      <w:bookmarkStart w:id="51" w:name="_Toc153789772"/>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00072E13" w:rsidRPr="00072E13">
        <w:rPr>
          <w:rFonts w:ascii="Times New Roman" w:eastAsia="楷体" w:hAnsi="Times New Roman" w:hint="eastAsia"/>
          <w:b/>
          <w:color w:val="000000" w:themeColor="text1"/>
          <w:sz w:val="24"/>
          <w:szCs w:val="24"/>
        </w:rPr>
        <w:t>SCFI</w:t>
      </w:r>
      <w:r w:rsidR="00072E13" w:rsidRPr="00072E13">
        <w:rPr>
          <w:rFonts w:ascii="Times New Roman" w:eastAsia="楷体" w:hAnsi="Times New Roman" w:hint="eastAsia"/>
          <w:b/>
          <w:color w:val="000000" w:themeColor="text1"/>
          <w:sz w:val="24"/>
          <w:szCs w:val="24"/>
        </w:rPr>
        <w:t>欧线继续上涨，期货价格高位震荡</w:t>
      </w:r>
      <w:bookmarkEnd w:id="51"/>
    </w:p>
    <w:p w:rsidR="00072E13" w:rsidRPr="00072E13" w:rsidRDefault="00072E13" w:rsidP="00072E13">
      <w:pPr>
        <w:ind w:leftChars="300" w:left="630"/>
        <w:rPr>
          <w:rFonts w:ascii="Times New Roman" w:eastAsia="楷体" w:hAnsi="Times New Roman" w:hint="eastAsia"/>
          <w:color w:val="000000" w:themeColor="text1"/>
          <w:sz w:val="24"/>
          <w:szCs w:val="24"/>
        </w:rPr>
      </w:pPr>
      <w:r w:rsidRPr="00072E13">
        <w:rPr>
          <w:rFonts w:ascii="Times New Roman" w:eastAsia="楷体" w:hAnsi="Times New Roman" w:hint="eastAsia"/>
          <w:color w:val="000000" w:themeColor="text1"/>
          <w:sz w:val="24"/>
          <w:szCs w:val="24"/>
        </w:rPr>
        <w:t>即期运价在过去几周持续上行，船司再度宣布</w:t>
      </w:r>
      <w:r w:rsidRPr="00072E13">
        <w:rPr>
          <w:rFonts w:ascii="Times New Roman" w:eastAsia="楷体" w:hAnsi="Times New Roman" w:hint="eastAsia"/>
          <w:color w:val="000000" w:themeColor="text1"/>
          <w:sz w:val="24"/>
          <w:szCs w:val="24"/>
        </w:rPr>
        <w:t>1</w:t>
      </w:r>
      <w:r w:rsidRPr="00072E13">
        <w:rPr>
          <w:rFonts w:ascii="Times New Roman" w:eastAsia="楷体" w:hAnsi="Times New Roman" w:hint="eastAsia"/>
          <w:color w:val="000000" w:themeColor="text1"/>
          <w:sz w:val="24"/>
          <w:szCs w:val="24"/>
        </w:rPr>
        <w:t>月运价上调支撑期货市场持续上攻，但长远供应过剩格局并未改变，因此上周呈现高位震荡。根据最新公告，马士基收取以色列进口货物紧急风险附加费，达飞提高亚洲至北欧、地中海和北非航线</w:t>
      </w:r>
      <w:r w:rsidRPr="00072E13">
        <w:rPr>
          <w:rFonts w:ascii="Times New Roman" w:eastAsia="楷体" w:hAnsi="Times New Roman" w:hint="eastAsia"/>
          <w:color w:val="000000" w:themeColor="text1"/>
          <w:sz w:val="24"/>
          <w:szCs w:val="24"/>
        </w:rPr>
        <w:t>FAK</w:t>
      </w:r>
      <w:r w:rsidRPr="00072E13">
        <w:rPr>
          <w:rFonts w:ascii="Times New Roman" w:eastAsia="楷体" w:hAnsi="Times New Roman" w:hint="eastAsia"/>
          <w:color w:val="000000" w:themeColor="text1"/>
          <w:sz w:val="24"/>
          <w:szCs w:val="24"/>
        </w:rPr>
        <w:t>，赫伯罗特上调亚洲至拉丁美洲航线</w:t>
      </w:r>
      <w:r w:rsidRPr="00072E13">
        <w:rPr>
          <w:rFonts w:ascii="Times New Roman" w:eastAsia="楷体" w:hAnsi="Times New Roman" w:hint="eastAsia"/>
          <w:color w:val="000000" w:themeColor="text1"/>
          <w:sz w:val="24"/>
          <w:szCs w:val="24"/>
        </w:rPr>
        <w:t>GRI</w:t>
      </w:r>
      <w:r w:rsidRPr="00072E13">
        <w:rPr>
          <w:rFonts w:ascii="Times New Roman" w:eastAsia="楷体" w:hAnsi="Times New Roman" w:hint="eastAsia"/>
          <w:color w:val="000000" w:themeColor="text1"/>
          <w:sz w:val="24"/>
          <w:szCs w:val="24"/>
        </w:rPr>
        <w:t>，生效时段皆为</w:t>
      </w:r>
      <w:r w:rsidRPr="00072E13">
        <w:rPr>
          <w:rFonts w:ascii="Times New Roman" w:eastAsia="楷体" w:hAnsi="Times New Roman" w:hint="eastAsia"/>
          <w:color w:val="000000" w:themeColor="text1"/>
          <w:sz w:val="24"/>
          <w:szCs w:val="24"/>
        </w:rPr>
        <w:t>1</w:t>
      </w:r>
      <w:r w:rsidRPr="00072E13">
        <w:rPr>
          <w:rFonts w:ascii="Times New Roman" w:eastAsia="楷体" w:hAnsi="Times New Roman" w:hint="eastAsia"/>
          <w:color w:val="000000" w:themeColor="text1"/>
          <w:sz w:val="24"/>
          <w:szCs w:val="24"/>
        </w:rPr>
        <w:t>月初。需求方面，欧洲经济边际回暖但总体依然较弱，</w:t>
      </w:r>
      <w:r w:rsidRPr="00072E13">
        <w:rPr>
          <w:rFonts w:ascii="Times New Roman" w:eastAsia="楷体" w:hAnsi="Times New Roman" w:hint="eastAsia"/>
          <w:color w:val="000000" w:themeColor="text1"/>
          <w:sz w:val="24"/>
          <w:szCs w:val="24"/>
        </w:rPr>
        <w:t>12</w:t>
      </w:r>
      <w:r w:rsidRPr="00072E13">
        <w:rPr>
          <w:rFonts w:ascii="Times New Roman" w:eastAsia="楷体" w:hAnsi="Times New Roman" w:hint="eastAsia"/>
          <w:color w:val="000000" w:themeColor="text1"/>
          <w:sz w:val="24"/>
          <w:szCs w:val="24"/>
        </w:rPr>
        <w:t>月欧元区</w:t>
      </w:r>
      <w:r w:rsidRPr="00072E13">
        <w:rPr>
          <w:rFonts w:ascii="Times New Roman" w:eastAsia="楷体" w:hAnsi="Times New Roman" w:hint="eastAsia"/>
          <w:color w:val="000000" w:themeColor="text1"/>
          <w:sz w:val="24"/>
          <w:szCs w:val="24"/>
        </w:rPr>
        <w:t>PMI</w:t>
      </w:r>
      <w:r w:rsidRPr="00072E13">
        <w:rPr>
          <w:rFonts w:ascii="Times New Roman" w:eastAsia="楷体" w:hAnsi="Times New Roman" w:hint="eastAsia"/>
          <w:color w:val="000000" w:themeColor="text1"/>
          <w:sz w:val="24"/>
          <w:szCs w:val="24"/>
        </w:rPr>
        <w:t>公布数据为</w:t>
      </w:r>
      <w:r w:rsidRPr="00072E13">
        <w:rPr>
          <w:rFonts w:ascii="Times New Roman" w:eastAsia="楷体" w:hAnsi="Times New Roman" w:hint="eastAsia"/>
          <w:color w:val="000000" w:themeColor="text1"/>
          <w:sz w:val="24"/>
          <w:szCs w:val="24"/>
        </w:rPr>
        <w:t>44.2</w:t>
      </w:r>
      <w:r w:rsidRPr="00072E13">
        <w:rPr>
          <w:rFonts w:ascii="Times New Roman" w:eastAsia="楷体" w:hAnsi="Times New Roman" w:hint="eastAsia"/>
          <w:color w:val="000000" w:themeColor="text1"/>
          <w:sz w:val="24"/>
          <w:szCs w:val="24"/>
        </w:rPr>
        <w:t>低于预期的</w:t>
      </w:r>
      <w:r w:rsidRPr="00072E13">
        <w:rPr>
          <w:rFonts w:ascii="Times New Roman" w:eastAsia="楷体" w:hAnsi="Times New Roman" w:hint="eastAsia"/>
          <w:color w:val="000000" w:themeColor="text1"/>
          <w:sz w:val="24"/>
          <w:szCs w:val="24"/>
        </w:rPr>
        <w:t>44.6</w:t>
      </w:r>
      <w:r w:rsidRPr="00072E13">
        <w:rPr>
          <w:rFonts w:ascii="Times New Roman" w:eastAsia="楷体" w:hAnsi="Times New Roman" w:hint="eastAsia"/>
          <w:color w:val="000000" w:themeColor="text1"/>
          <w:sz w:val="24"/>
          <w:szCs w:val="24"/>
        </w:rPr>
        <w:t>。</w:t>
      </w:r>
    </w:p>
    <w:p w:rsidR="00152664" w:rsidRDefault="00072E13" w:rsidP="00072E13">
      <w:pPr>
        <w:ind w:leftChars="300" w:left="630"/>
        <w:rPr>
          <w:rFonts w:ascii="Times New Roman" w:eastAsia="楷体" w:hAnsi="Times New Roman"/>
          <w:color w:val="000000" w:themeColor="text1"/>
          <w:sz w:val="24"/>
          <w:szCs w:val="24"/>
        </w:rPr>
      </w:pPr>
      <w:r w:rsidRPr="00072E13">
        <w:rPr>
          <w:rFonts w:ascii="Times New Roman" w:eastAsia="楷体" w:hAnsi="Times New Roman" w:hint="eastAsia"/>
          <w:color w:val="000000" w:themeColor="text1"/>
          <w:sz w:val="24"/>
          <w:szCs w:val="24"/>
        </w:rPr>
        <w:t>总体来看，近期船司密集提价引致现货指数持续向上，上周五盘后将公布</w:t>
      </w:r>
      <w:r w:rsidRPr="00072E13">
        <w:rPr>
          <w:rFonts w:ascii="Times New Roman" w:eastAsia="楷体" w:hAnsi="Times New Roman" w:hint="eastAsia"/>
          <w:color w:val="000000" w:themeColor="text1"/>
          <w:sz w:val="24"/>
          <w:szCs w:val="24"/>
        </w:rPr>
        <w:t>SCFI</w:t>
      </w:r>
      <w:r w:rsidRPr="00072E13">
        <w:rPr>
          <w:rFonts w:ascii="Times New Roman" w:eastAsia="楷体" w:hAnsi="Times New Roman" w:hint="eastAsia"/>
          <w:color w:val="000000" w:themeColor="text1"/>
          <w:sz w:val="24"/>
          <w:szCs w:val="24"/>
        </w:rPr>
        <w:t>欧线数据上涨</w:t>
      </w:r>
      <w:r w:rsidRPr="00072E13">
        <w:rPr>
          <w:rFonts w:ascii="Times New Roman" w:eastAsia="楷体" w:hAnsi="Times New Roman" w:hint="eastAsia"/>
          <w:color w:val="000000" w:themeColor="text1"/>
          <w:sz w:val="24"/>
          <w:szCs w:val="24"/>
        </w:rPr>
        <w:t>11.2%</w:t>
      </w:r>
      <w:r w:rsidRPr="00072E13">
        <w:rPr>
          <w:rFonts w:ascii="Times New Roman" w:eastAsia="楷体" w:hAnsi="Times New Roman" w:hint="eastAsia"/>
          <w:color w:val="000000" w:themeColor="text1"/>
          <w:sz w:val="24"/>
          <w:szCs w:val="24"/>
        </w:rPr>
        <w:t>符合预期，但期货市场依然受长期供应过剩牵制。目前市场静待新一轮提价落实，因此</w:t>
      </w:r>
      <w:r w:rsidRPr="00072E13">
        <w:rPr>
          <w:rFonts w:ascii="Times New Roman" w:eastAsia="楷体" w:hAnsi="Times New Roman" w:hint="eastAsia"/>
          <w:color w:val="000000" w:themeColor="text1"/>
          <w:sz w:val="24"/>
          <w:szCs w:val="24"/>
        </w:rPr>
        <w:t>EC</w:t>
      </w:r>
      <w:r w:rsidRPr="00072E13">
        <w:rPr>
          <w:rFonts w:ascii="Times New Roman" w:eastAsia="楷体" w:hAnsi="Times New Roman" w:hint="eastAsia"/>
          <w:color w:val="000000" w:themeColor="text1"/>
          <w:sz w:val="24"/>
          <w:szCs w:val="24"/>
        </w:rPr>
        <w:t>价格预计将保持高位震荡，留意大幅波动风险，操作上建议区间交易为主</w:t>
      </w:r>
      <w:r w:rsidR="00152664">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2" w:name="_Toc71212556"/>
      <w:bookmarkStart w:id="53" w:name="_Toc19667"/>
      <w:bookmarkStart w:id="54" w:name="_Toc98426751"/>
      <w:bookmarkStart w:id="55" w:name="_Toc12779"/>
      <w:bookmarkStart w:id="56" w:name="_Toc72481108"/>
      <w:r>
        <w:rPr>
          <w:rFonts w:ascii="Times New Roman" w:eastAsia="楷体" w:hAnsi="Times New Roman"/>
          <w:b/>
          <w:color w:val="411D05"/>
          <w:sz w:val="30"/>
          <w:szCs w:val="30"/>
        </w:rPr>
        <w:lastRenderedPageBreak/>
        <w:t>免责声明</w:t>
      </w:r>
      <w:bookmarkEnd w:id="52"/>
      <w:bookmarkEnd w:id="53"/>
      <w:bookmarkEnd w:id="54"/>
      <w:bookmarkEnd w:id="55"/>
      <w:bookmarkEnd w:id="56"/>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BA" w:rsidRDefault="00FD53BA">
      <w:r>
        <w:separator/>
      </w:r>
    </w:p>
  </w:endnote>
  <w:endnote w:type="continuationSeparator" w:id="0">
    <w:p w:rsidR="00FD53BA" w:rsidRDefault="00FD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78D63BB8" wp14:editId="4DBDED7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072E13">
                            <w:rPr>
                              <w:rFonts w:ascii="Times New Roman" w:eastAsia="楷体" w:hAnsi="Times New Roman" w:cs="Times New Roman"/>
                              <w:b/>
                              <w:noProof/>
                              <w:color w:val="833C0B"/>
                              <w:sz w:val="21"/>
                              <w:lang w:bidi="ar"/>
                            </w:rPr>
                            <w:t>1</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072E13">
                      <w:rPr>
                        <w:rFonts w:ascii="Times New Roman" w:eastAsia="楷体" w:hAnsi="Times New Roman" w:cs="Times New Roman"/>
                        <w:b/>
                        <w:noProof/>
                        <w:color w:val="833C0B"/>
                        <w:sz w:val="21"/>
                        <w:lang w:bidi="ar"/>
                      </w:rPr>
                      <w:t>1</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BA" w:rsidRDefault="00FD53BA">
      <w:r>
        <w:separator/>
      </w:r>
    </w:p>
  </w:footnote>
  <w:footnote w:type="continuationSeparator" w:id="0">
    <w:p w:rsidR="00FD53BA" w:rsidRDefault="00FD53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1B5B6125" wp14:editId="1BAA8C54">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0A4ADB99" wp14:editId="74D7445C">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072E13">
      <w:rPr>
        <w:rFonts w:ascii="Times New Roman" w:eastAsia="楷体" w:hAnsi="Times New Roman" w:hint="eastAsia"/>
        <w:b/>
        <w:bCs/>
        <w:noProof/>
        <w:color w:val="833C0B"/>
        <w:sz w:val="21"/>
      </w:rPr>
      <w:t>2023</w:t>
    </w:r>
    <w:r w:rsidR="00072E13">
      <w:rPr>
        <w:rFonts w:ascii="Times New Roman" w:eastAsia="楷体" w:hAnsi="Times New Roman" w:hint="eastAsia"/>
        <w:b/>
        <w:bCs/>
        <w:noProof/>
        <w:color w:val="833C0B"/>
        <w:sz w:val="21"/>
      </w:rPr>
      <w:t>年</w:t>
    </w:r>
    <w:r w:rsidR="00072E13">
      <w:rPr>
        <w:rFonts w:ascii="Times New Roman" w:eastAsia="楷体" w:hAnsi="Times New Roman" w:hint="eastAsia"/>
        <w:b/>
        <w:bCs/>
        <w:noProof/>
        <w:color w:val="833C0B"/>
        <w:sz w:val="21"/>
      </w:rPr>
      <w:t>12</w:t>
    </w:r>
    <w:r w:rsidR="00072E13">
      <w:rPr>
        <w:rFonts w:ascii="Times New Roman" w:eastAsia="楷体" w:hAnsi="Times New Roman" w:hint="eastAsia"/>
        <w:b/>
        <w:bCs/>
        <w:noProof/>
        <w:color w:val="833C0B"/>
        <w:sz w:val="21"/>
      </w:rPr>
      <w:t>月</w:t>
    </w:r>
    <w:r w:rsidR="00072E13">
      <w:rPr>
        <w:rFonts w:ascii="Times New Roman" w:eastAsia="楷体" w:hAnsi="Times New Roman" w:hint="eastAsia"/>
        <w:b/>
        <w:bCs/>
        <w:noProof/>
        <w:color w:val="833C0B"/>
        <w:sz w:val="21"/>
      </w:rPr>
      <w:t>18</w:t>
    </w:r>
    <w:r w:rsidR="00072E13">
      <w:rPr>
        <w:rFonts w:ascii="Times New Roman" w:eastAsia="楷体" w:hAnsi="Times New Roman" w:hint="eastAsia"/>
        <w:b/>
        <w:bCs/>
        <w:noProof/>
        <w:color w:val="833C0B"/>
        <w:sz w:val="21"/>
      </w:rPr>
      <w:t>日星期一</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BB0A4"/>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4996</TotalTime>
  <Pages>10</Pages>
  <Words>1699</Words>
  <Characters>9686</Characters>
  <Application>Microsoft Office Word</Application>
  <DocSecurity>0</DocSecurity>
  <Lines>80</Lines>
  <Paragraphs>22</Paragraphs>
  <ScaleCrop>false</ScaleCrop>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158</cp:revision>
  <cp:lastPrinted>2023-06-08T02:23:00Z</cp:lastPrinted>
  <dcterms:created xsi:type="dcterms:W3CDTF">2022-11-15T10:06:00Z</dcterms:created>
  <dcterms:modified xsi:type="dcterms:W3CDTF">2023-12-18T03:01:00Z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