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color w:val="823C0B"/>
          <w:sz w:val="30"/>
          <w:szCs w:val="30"/>
        </w:rPr>
      </w:pPr>
      <w:bookmarkStart w:id="45" w:name="_GoBack"/>
      <w:bookmarkEnd w:id="45"/>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17"/>
            <w:rPr>
              <w:b/>
              <w:bCs/>
            </w:rPr>
          </w:pPr>
        </w:p>
        <w:p>
          <w:pPr>
            <w:pStyle w:val="5"/>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_Toc32125 </w:instrText>
          </w:r>
          <w:r>
            <w:rPr>
              <w:bCs/>
            </w:rPr>
            <w:fldChar w:fldCharType="separate"/>
          </w:r>
          <w:r>
            <w:rPr>
              <w:rFonts w:hint="eastAsia" w:ascii="Times New Roman" w:hAnsi="Times New Roman" w:eastAsia="楷体"/>
              <w:szCs w:val="30"/>
            </w:rPr>
            <w:t>[金融]</w:t>
          </w:r>
          <w:r>
            <w:rPr>
              <w:bCs/>
            </w:rPr>
            <w:fldChar w:fldCharType="end"/>
          </w:r>
        </w:p>
        <w:p>
          <w:pPr>
            <w:pStyle w:val="6"/>
            <w:tabs>
              <w:tab w:val="right" w:leader="dot" w:pos="8306"/>
            </w:tabs>
          </w:pPr>
          <w:r>
            <w:rPr>
              <w:bCs/>
            </w:rPr>
            <w:fldChar w:fldCharType="begin"/>
          </w:r>
          <w:r>
            <w:rPr>
              <w:bCs/>
            </w:rPr>
            <w:instrText xml:space="preserve"> HYPERLINK \l _Toc19495 </w:instrText>
          </w:r>
          <w:r>
            <w:rPr>
              <w:bCs/>
            </w:rPr>
            <w:fldChar w:fldCharType="separate"/>
          </w:r>
          <w:r>
            <w:rPr>
              <w:rFonts w:hint="eastAsia" w:ascii="Times New Roman" w:hAnsi="Times New Roman" w:eastAsia="楷体"/>
              <w:szCs w:val="24"/>
            </w:rPr>
            <w:t>股指：</w:t>
          </w:r>
          <w:r>
            <w:rPr>
              <w:rFonts w:hint="eastAsia" w:ascii="Times New Roman" w:hAnsi="Times New Roman" w:eastAsia="楷体"/>
              <w:szCs w:val="24"/>
              <w:highlight w:val="none"/>
            </w:rPr>
            <w:t>谨慎追高，低吸为主</w:t>
          </w:r>
          <w:r>
            <w:rPr>
              <w:bCs/>
            </w:rPr>
            <w:fldChar w:fldCharType="end"/>
          </w:r>
        </w:p>
        <w:p>
          <w:pPr>
            <w:pStyle w:val="5"/>
            <w:tabs>
              <w:tab w:val="right" w:leader="dot" w:pos="8306"/>
            </w:tabs>
          </w:pPr>
          <w:r>
            <w:rPr>
              <w:bCs/>
            </w:rPr>
            <w:fldChar w:fldCharType="begin"/>
          </w:r>
          <w:r>
            <w:rPr>
              <w:bCs/>
            </w:rPr>
            <w:instrText xml:space="preserve"> HYPERLINK \l _Toc10970 </w:instrText>
          </w:r>
          <w:r>
            <w:rPr>
              <w:bCs/>
            </w:rPr>
            <w:fldChar w:fldCharType="separate"/>
          </w:r>
          <w:r>
            <w:rPr>
              <w:rFonts w:hint="eastAsia" w:ascii="Times New Roman" w:hAnsi="Times New Roman" w:eastAsia="楷体"/>
              <w:szCs w:val="30"/>
            </w:rPr>
            <w:t>[金属]</w:t>
          </w:r>
          <w:r>
            <w:rPr>
              <w:bCs/>
            </w:rPr>
            <w:fldChar w:fldCharType="end"/>
          </w:r>
        </w:p>
        <w:p>
          <w:pPr>
            <w:pStyle w:val="6"/>
            <w:tabs>
              <w:tab w:val="right" w:leader="dot" w:pos="8306"/>
            </w:tabs>
          </w:pPr>
          <w:r>
            <w:rPr>
              <w:bCs/>
            </w:rPr>
            <w:fldChar w:fldCharType="begin"/>
          </w:r>
          <w:r>
            <w:rPr>
              <w:bCs/>
            </w:rPr>
            <w:instrText xml:space="preserve"> HYPERLINK \l _Toc8286 </w:instrText>
          </w:r>
          <w:r>
            <w:rPr>
              <w:bCs/>
            </w:rPr>
            <w:fldChar w:fldCharType="separate"/>
          </w:r>
          <w:r>
            <w:rPr>
              <w:rFonts w:hint="eastAsia" w:ascii="楷体" w:hAnsi="楷体" w:eastAsia="楷体"/>
              <w:szCs w:val="24"/>
            </w:rPr>
            <w:t>螺纹钢：</w:t>
          </w:r>
          <w:r>
            <w:rPr>
              <w:rFonts w:hint="eastAsia" w:ascii="楷体" w:hAnsi="楷体" w:eastAsia="楷体"/>
              <w:szCs w:val="24"/>
              <w:highlight w:val="none"/>
            </w:rPr>
            <w:t>成本及现货推动盘面价格继续上行</w:t>
          </w:r>
          <w:r>
            <w:rPr>
              <w:bCs/>
            </w:rPr>
            <w:fldChar w:fldCharType="end"/>
          </w:r>
        </w:p>
        <w:p>
          <w:pPr>
            <w:pStyle w:val="6"/>
            <w:tabs>
              <w:tab w:val="right" w:leader="dot" w:pos="8306"/>
            </w:tabs>
          </w:pPr>
          <w:r>
            <w:rPr>
              <w:bCs/>
            </w:rPr>
            <w:fldChar w:fldCharType="begin"/>
          </w:r>
          <w:r>
            <w:rPr>
              <w:bCs/>
            </w:rPr>
            <w:instrText xml:space="preserve"> HYPERLINK \l _Toc30185 </w:instrText>
          </w:r>
          <w:r>
            <w:rPr>
              <w:bCs/>
            </w:rPr>
            <w:fldChar w:fldCharType="separate"/>
          </w:r>
          <w:r>
            <w:rPr>
              <w:rFonts w:hint="eastAsia" w:ascii="楷体" w:hAnsi="楷体" w:eastAsia="楷体"/>
              <w:szCs w:val="24"/>
            </w:rPr>
            <w:t>焦炭：第三轮提涨落地，盘面或继续震荡上行</w:t>
          </w:r>
          <w:r>
            <w:rPr>
              <w:bCs/>
            </w:rPr>
            <w:fldChar w:fldCharType="end"/>
          </w:r>
        </w:p>
        <w:p>
          <w:pPr>
            <w:pStyle w:val="6"/>
            <w:tabs>
              <w:tab w:val="right" w:leader="dot" w:pos="8306"/>
            </w:tabs>
          </w:pPr>
          <w:r>
            <w:rPr>
              <w:bCs/>
            </w:rPr>
            <w:fldChar w:fldCharType="begin"/>
          </w:r>
          <w:r>
            <w:rPr>
              <w:bCs/>
            </w:rPr>
            <w:instrText xml:space="preserve"> HYPERLINK \l _Toc21045 </w:instrText>
          </w:r>
          <w:r>
            <w:rPr>
              <w:bCs/>
            </w:rPr>
            <w:fldChar w:fldCharType="separate"/>
          </w:r>
          <w:r>
            <w:rPr>
              <w:rFonts w:hint="eastAsia" w:ascii="楷体" w:hAnsi="楷体" w:eastAsia="楷体"/>
              <w:szCs w:val="24"/>
            </w:rPr>
            <w:t>焦煤：蒙煤现货开始涨价，现货驱动下继续震荡上行</w:t>
          </w:r>
          <w:r>
            <w:rPr>
              <w:bCs/>
            </w:rPr>
            <w:fldChar w:fldCharType="end"/>
          </w:r>
        </w:p>
        <w:p>
          <w:pPr>
            <w:pStyle w:val="6"/>
            <w:tabs>
              <w:tab w:val="right" w:leader="dot" w:pos="8306"/>
            </w:tabs>
          </w:pPr>
          <w:r>
            <w:rPr>
              <w:bCs/>
            </w:rPr>
            <w:fldChar w:fldCharType="begin"/>
          </w:r>
          <w:r>
            <w:rPr>
              <w:bCs/>
            </w:rPr>
            <w:instrText xml:space="preserve"> HYPERLINK \l _Toc26871 </w:instrText>
          </w:r>
          <w:r>
            <w:rPr>
              <w:bCs/>
            </w:rPr>
            <w:fldChar w:fldCharType="separate"/>
          </w:r>
          <w:r>
            <w:rPr>
              <w:rFonts w:hint="eastAsia" w:ascii="楷体" w:hAnsi="楷体" w:eastAsia="楷体"/>
              <w:szCs w:val="24"/>
            </w:rPr>
            <w:t>铜：延续区间震荡运行</w:t>
          </w:r>
          <w:r>
            <w:rPr>
              <w:bCs/>
            </w:rPr>
            <w:fldChar w:fldCharType="end"/>
          </w:r>
        </w:p>
        <w:p>
          <w:pPr>
            <w:pStyle w:val="6"/>
            <w:tabs>
              <w:tab w:val="right" w:leader="dot" w:pos="8306"/>
            </w:tabs>
          </w:pPr>
          <w:r>
            <w:rPr>
              <w:bCs/>
            </w:rPr>
            <w:fldChar w:fldCharType="begin"/>
          </w:r>
          <w:r>
            <w:rPr>
              <w:bCs/>
            </w:rPr>
            <w:instrText xml:space="preserve"> HYPERLINK \l _Toc6765 </w:instrText>
          </w:r>
          <w:r>
            <w:rPr>
              <w:bCs/>
            </w:rPr>
            <w:fldChar w:fldCharType="separate"/>
          </w:r>
          <w:r>
            <w:rPr>
              <w:rFonts w:hint="eastAsia" w:ascii="楷体" w:hAnsi="楷体" w:eastAsia="楷体"/>
              <w:szCs w:val="24"/>
            </w:rPr>
            <w:t>铝： 供应修复库存拐点或现，短期价格高位震荡</w:t>
          </w:r>
          <w:r>
            <w:rPr>
              <w:bCs/>
            </w:rPr>
            <w:fldChar w:fldCharType="end"/>
          </w:r>
        </w:p>
        <w:p>
          <w:pPr>
            <w:pStyle w:val="6"/>
            <w:tabs>
              <w:tab w:val="right" w:leader="dot" w:pos="8306"/>
            </w:tabs>
          </w:pPr>
          <w:r>
            <w:rPr>
              <w:bCs/>
            </w:rPr>
            <w:fldChar w:fldCharType="begin"/>
          </w:r>
          <w:r>
            <w:rPr>
              <w:bCs/>
            </w:rPr>
            <w:instrText xml:space="preserve"> HYPERLINK \l _Toc31430 </w:instrText>
          </w:r>
          <w:r>
            <w:rPr>
              <w:bCs/>
            </w:rPr>
            <w:fldChar w:fldCharType="separate"/>
          </w:r>
          <w:r>
            <w:rPr>
              <w:rFonts w:hint="eastAsia" w:ascii="楷体" w:hAnsi="楷体" w:eastAsia="楷体"/>
              <w:szCs w:val="24"/>
            </w:rPr>
            <w:t>锌：多空博弈沪锌高位震荡</w:t>
          </w:r>
          <w:r>
            <w:rPr>
              <w:bCs/>
            </w:rPr>
            <w:fldChar w:fldCharType="end"/>
          </w:r>
        </w:p>
        <w:p>
          <w:pPr>
            <w:pStyle w:val="6"/>
            <w:tabs>
              <w:tab w:val="right" w:leader="dot" w:pos="8306"/>
            </w:tabs>
          </w:pPr>
          <w:r>
            <w:rPr>
              <w:bCs/>
            </w:rPr>
            <w:fldChar w:fldCharType="begin"/>
          </w:r>
          <w:r>
            <w:rPr>
              <w:bCs/>
            </w:rPr>
            <w:instrText xml:space="preserve"> HYPERLINK \l _Toc14780 </w:instrText>
          </w:r>
          <w:r>
            <w:rPr>
              <w:bCs/>
            </w:rPr>
            <w:fldChar w:fldCharType="separate"/>
          </w:r>
          <w:r>
            <w:rPr>
              <w:rFonts w:hint="eastAsia" w:ascii="楷体" w:hAnsi="楷体" w:eastAsia="楷体"/>
              <w:szCs w:val="24"/>
            </w:rPr>
            <w:t>镍：低库存低流动性下价格波动剧烈，离场观望</w:t>
          </w:r>
          <w:r>
            <w:rPr>
              <w:bCs/>
            </w:rPr>
            <w:fldChar w:fldCharType="end"/>
          </w:r>
        </w:p>
        <w:p>
          <w:pPr>
            <w:pStyle w:val="6"/>
            <w:tabs>
              <w:tab w:val="right" w:leader="dot" w:pos="8306"/>
            </w:tabs>
          </w:pPr>
          <w:r>
            <w:rPr>
              <w:bCs/>
            </w:rPr>
            <w:fldChar w:fldCharType="begin"/>
          </w:r>
          <w:r>
            <w:rPr>
              <w:bCs/>
            </w:rPr>
            <w:instrText xml:space="preserve"> HYPERLINK \l _Toc25155 </w:instrText>
          </w:r>
          <w:r>
            <w:rPr>
              <w:bCs/>
            </w:rPr>
            <w:fldChar w:fldCharType="separate"/>
          </w:r>
          <w:r>
            <w:rPr>
              <w:rFonts w:hint="eastAsia" w:ascii="楷体" w:hAnsi="楷体" w:eastAsia="楷体"/>
              <w:szCs w:val="24"/>
            </w:rPr>
            <w:t>不锈钢：成本支撑松动，价格反弹力度有限</w:t>
          </w:r>
          <w:r>
            <w:rPr>
              <w:bCs/>
            </w:rPr>
            <w:fldChar w:fldCharType="end"/>
          </w:r>
        </w:p>
        <w:p>
          <w:pPr>
            <w:pStyle w:val="6"/>
            <w:tabs>
              <w:tab w:val="right" w:leader="dot" w:pos="8306"/>
            </w:tabs>
          </w:pPr>
          <w:r>
            <w:rPr>
              <w:bCs/>
            </w:rPr>
            <w:fldChar w:fldCharType="begin"/>
          </w:r>
          <w:r>
            <w:rPr>
              <w:bCs/>
            </w:rPr>
            <w:instrText xml:space="preserve"> HYPERLINK \l _Toc26664 </w:instrText>
          </w:r>
          <w:r>
            <w:rPr>
              <w:bCs/>
            </w:rPr>
            <w:fldChar w:fldCharType="separate"/>
          </w:r>
          <w:r>
            <w:rPr>
              <w:rFonts w:hint="eastAsia" w:ascii="楷体" w:hAnsi="楷体" w:eastAsia="楷体"/>
              <w:szCs w:val="24"/>
            </w:rPr>
            <w:t>工业硅：行情延续弱势，硅价跌幅收窄</w:t>
          </w:r>
          <w:r>
            <w:rPr>
              <w:bCs/>
            </w:rPr>
            <w:fldChar w:fldCharType="end"/>
          </w:r>
        </w:p>
        <w:p>
          <w:pPr>
            <w:pStyle w:val="5"/>
            <w:tabs>
              <w:tab w:val="right" w:leader="dot" w:pos="8306"/>
            </w:tabs>
          </w:pPr>
          <w:r>
            <w:rPr>
              <w:bCs/>
            </w:rPr>
            <w:fldChar w:fldCharType="begin"/>
          </w:r>
          <w:r>
            <w:rPr>
              <w:bCs/>
            </w:rPr>
            <w:instrText xml:space="preserve"> HYPERLINK \l _Toc2306 </w:instrText>
          </w:r>
          <w:r>
            <w:rPr>
              <w:bCs/>
            </w:rPr>
            <w:fldChar w:fldCharType="separate"/>
          </w:r>
          <w:r>
            <w:rPr>
              <w:rFonts w:hint="eastAsia" w:ascii="Times New Roman" w:hAnsi="Times New Roman" w:eastAsia="楷体"/>
              <w:szCs w:val="30"/>
            </w:rPr>
            <w:t>[化工]</w:t>
          </w:r>
          <w:r>
            <w:rPr>
              <w:bCs/>
            </w:rPr>
            <w:fldChar w:fldCharType="end"/>
          </w:r>
        </w:p>
        <w:p>
          <w:pPr>
            <w:pStyle w:val="6"/>
            <w:tabs>
              <w:tab w:val="right" w:leader="dot" w:pos="8306"/>
            </w:tabs>
          </w:pPr>
          <w:r>
            <w:rPr>
              <w:bCs/>
            </w:rPr>
            <w:fldChar w:fldCharType="begin"/>
          </w:r>
          <w:r>
            <w:rPr>
              <w:bCs/>
            </w:rPr>
            <w:instrText xml:space="preserve"> HYPERLINK \l _Toc15367 </w:instrText>
          </w:r>
          <w:r>
            <w:rPr>
              <w:bCs/>
            </w:rPr>
            <w:fldChar w:fldCharType="separate"/>
          </w:r>
          <w:r>
            <w:rPr>
              <w:rFonts w:hint="eastAsia" w:ascii="Times New Roman" w:hAnsi="Times New Roman" w:eastAsia="楷体"/>
              <w:szCs w:val="24"/>
            </w:rPr>
            <w:t>乙二醇：供应累库预期  走势承压</w:t>
          </w:r>
          <w:r>
            <w:rPr>
              <w:bCs/>
            </w:rPr>
            <w:fldChar w:fldCharType="end"/>
          </w:r>
        </w:p>
        <w:p>
          <w:pPr>
            <w:pStyle w:val="6"/>
            <w:tabs>
              <w:tab w:val="right" w:leader="dot" w:pos="8306"/>
            </w:tabs>
          </w:pPr>
          <w:r>
            <w:rPr>
              <w:bCs/>
            </w:rPr>
            <w:fldChar w:fldCharType="begin"/>
          </w:r>
          <w:r>
            <w:rPr>
              <w:bCs/>
            </w:rPr>
            <w:instrText xml:space="preserve"> HYPERLINK \l _Toc6830 </w:instrText>
          </w:r>
          <w:r>
            <w:rPr>
              <w:bCs/>
            </w:rPr>
            <w:fldChar w:fldCharType="separate"/>
          </w:r>
          <w:r>
            <w:rPr>
              <w:rFonts w:ascii="楷体" w:hAnsi="楷体" w:eastAsia="楷体"/>
              <w:szCs w:val="24"/>
            </w:rPr>
            <w:t>PTA</w:t>
          </w:r>
          <w:r>
            <w:rPr>
              <w:rFonts w:hint="eastAsia" w:ascii="楷体" w:hAnsi="楷体" w:eastAsia="楷体"/>
              <w:szCs w:val="24"/>
            </w:rPr>
            <w:t>：供需阶段性改善 留意短多机会</w:t>
          </w:r>
          <w:r>
            <w:rPr>
              <w:bCs/>
            </w:rPr>
            <w:fldChar w:fldCharType="end"/>
          </w:r>
        </w:p>
        <w:p>
          <w:pPr>
            <w:pStyle w:val="6"/>
            <w:tabs>
              <w:tab w:val="right" w:leader="dot" w:pos="8306"/>
            </w:tabs>
          </w:pPr>
          <w:r>
            <w:rPr>
              <w:bCs/>
            </w:rPr>
            <w:fldChar w:fldCharType="begin"/>
          </w:r>
          <w:r>
            <w:rPr>
              <w:bCs/>
            </w:rPr>
            <w:instrText xml:space="preserve"> HYPERLINK \l _Toc11845 </w:instrText>
          </w:r>
          <w:r>
            <w:rPr>
              <w:bCs/>
            </w:rPr>
            <w:fldChar w:fldCharType="separate"/>
          </w:r>
          <w:r>
            <w:rPr>
              <w:rFonts w:hint="eastAsia" w:ascii="楷体" w:hAnsi="楷体" w:eastAsia="楷体"/>
              <w:szCs w:val="24"/>
            </w:rPr>
            <w:t>聚烯烃：基本面无利好提振，聚烯烃或延续窄幅偏弱调整</w:t>
          </w:r>
          <w:r>
            <w:rPr>
              <w:bCs/>
            </w:rPr>
            <w:fldChar w:fldCharType="end"/>
          </w:r>
        </w:p>
        <w:p>
          <w:pPr>
            <w:pStyle w:val="5"/>
            <w:tabs>
              <w:tab w:val="right" w:leader="dot" w:pos="8306"/>
            </w:tabs>
          </w:pPr>
          <w:r>
            <w:rPr>
              <w:bCs/>
            </w:rPr>
            <w:fldChar w:fldCharType="begin"/>
          </w:r>
          <w:r>
            <w:rPr>
              <w:bCs/>
            </w:rPr>
            <w:instrText xml:space="preserve"> HYPERLINK \l _Toc24773 </w:instrText>
          </w:r>
          <w:r>
            <w:rPr>
              <w:bCs/>
            </w:rPr>
            <w:fldChar w:fldCharType="separate"/>
          </w:r>
          <w:r>
            <w:rPr>
              <w:rFonts w:hint="eastAsia" w:ascii="Times New Roman" w:hAnsi="Times New Roman" w:eastAsia="楷体"/>
              <w:szCs w:val="30"/>
            </w:rPr>
            <w:t>[农产品]</w:t>
          </w:r>
          <w:r>
            <w:rPr>
              <w:bCs/>
            </w:rPr>
            <w:fldChar w:fldCharType="end"/>
          </w:r>
        </w:p>
        <w:p>
          <w:pPr>
            <w:pStyle w:val="6"/>
            <w:tabs>
              <w:tab w:val="right" w:leader="dot" w:pos="8306"/>
            </w:tabs>
          </w:pPr>
          <w:r>
            <w:rPr>
              <w:bCs/>
            </w:rPr>
            <w:fldChar w:fldCharType="begin"/>
          </w:r>
          <w:r>
            <w:rPr>
              <w:bCs/>
            </w:rPr>
            <w:instrText xml:space="preserve"> HYPERLINK \l _Toc19878 </w:instrText>
          </w:r>
          <w:r>
            <w:rPr>
              <w:bCs/>
            </w:rPr>
            <w:fldChar w:fldCharType="separate"/>
          </w:r>
          <w:r>
            <w:rPr>
              <w:rFonts w:hint="eastAsia" w:ascii="楷体" w:hAnsi="楷体" w:eastAsia="楷体"/>
              <w:szCs w:val="24"/>
            </w:rPr>
            <w:t>豆粕：期现回归，走势偏强</w:t>
          </w:r>
          <w:r>
            <w:rPr>
              <w:bCs/>
            </w:rPr>
            <w:fldChar w:fldCharType="end"/>
          </w:r>
        </w:p>
        <w:p>
          <w:pPr>
            <w:pStyle w:val="6"/>
            <w:tabs>
              <w:tab w:val="right" w:leader="dot" w:pos="8306"/>
            </w:tabs>
          </w:pPr>
          <w:r>
            <w:rPr>
              <w:bCs/>
            </w:rPr>
            <w:fldChar w:fldCharType="begin"/>
          </w:r>
          <w:r>
            <w:rPr>
              <w:bCs/>
            </w:rPr>
            <w:instrText xml:space="preserve"> HYPERLINK \l _Toc21845 </w:instrText>
          </w:r>
          <w:r>
            <w:rPr>
              <w:bCs/>
            </w:rPr>
            <w:fldChar w:fldCharType="separate"/>
          </w:r>
          <w:r>
            <w:rPr>
              <w:rFonts w:hint="eastAsia" w:ascii="楷体" w:hAnsi="楷体" w:eastAsia="楷体"/>
              <w:szCs w:val="24"/>
            </w:rPr>
            <w:t>油脂：短期维持宽幅震荡，走势偏弱</w:t>
          </w:r>
          <w:r>
            <w:rPr>
              <w:bCs/>
            </w:rPr>
            <w:fldChar w:fldCharType="end"/>
          </w:r>
        </w:p>
        <w:p>
          <w:pPr>
            <w:pStyle w:val="6"/>
            <w:tabs>
              <w:tab w:val="right" w:leader="dot" w:pos="8306"/>
            </w:tabs>
          </w:pPr>
          <w:r>
            <w:rPr>
              <w:bCs/>
            </w:rPr>
            <w:fldChar w:fldCharType="begin"/>
          </w:r>
          <w:r>
            <w:rPr>
              <w:bCs/>
            </w:rPr>
            <w:instrText xml:space="preserve"> HYPERLINK \l _Toc264 </w:instrText>
          </w:r>
          <w:r>
            <w:rPr>
              <w:bCs/>
            </w:rPr>
            <w:fldChar w:fldCharType="separate"/>
          </w:r>
          <w:r>
            <w:rPr>
              <w:rFonts w:hint="eastAsia" w:ascii="楷体" w:hAnsi="楷体" w:eastAsia="楷体"/>
              <w:bCs/>
            </w:rPr>
            <w:t>玉米与淀粉：</w:t>
          </w:r>
          <w:r>
            <w:rPr>
              <w:rFonts w:hint="eastAsia" w:ascii="楷体" w:hAnsi="楷体" w:eastAsia="楷体"/>
            </w:rPr>
            <w:t>玉米市场逻辑未变</w:t>
          </w:r>
          <w:r>
            <w:rPr>
              <w:bCs/>
            </w:rPr>
            <w:fldChar w:fldCharType="end"/>
          </w:r>
        </w:p>
        <w:p>
          <w:pPr>
            <w:pStyle w:val="6"/>
            <w:tabs>
              <w:tab w:val="right" w:leader="dot" w:pos="8306"/>
            </w:tabs>
          </w:pPr>
          <w:r>
            <w:rPr>
              <w:bCs/>
            </w:rPr>
            <w:fldChar w:fldCharType="begin"/>
          </w:r>
          <w:r>
            <w:rPr>
              <w:bCs/>
            </w:rPr>
            <w:instrText xml:space="preserve"> HYPERLINK \l _Toc27804 </w:instrText>
          </w:r>
          <w:r>
            <w:rPr>
              <w:bCs/>
            </w:rPr>
            <w:fldChar w:fldCharType="separate"/>
          </w:r>
          <w:r>
            <w:rPr>
              <w:rFonts w:hint="eastAsia" w:ascii="楷体" w:hAnsi="楷体" w:eastAsia="楷体"/>
              <w:bCs/>
            </w:rPr>
            <w:t>畜禽养殖：生猪现货带动主力期价再创新低</w:t>
          </w:r>
          <w:r>
            <w:rPr>
              <w:bCs/>
            </w:rPr>
            <w:fldChar w:fldCharType="end"/>
          </w:r>
        </w:p>
        <w:p>
          <w:pPr>
            <w:pStyle w:val="6"/>
            <w:tabs>
              <w:tab w:val="right" w:leader="dot" w:pos="8306"/>
            </w:tabs>
          </w:pPr>
          <w:r>
            <w:rPr>
              <w:bCs/>
            </w:rPr>
            <w:fldChar w:fldCharType="begin"/>
          </w:r>
          <w:r>
            <w:rPr>
              <w:bCs/>
            </w:rPr>
            <w:instrText xml:space="preserve"> HYPERLINK \l _Toc30983 </w:instrText>
          </w:r>
          <w:r>
            <w:rPr>
              <w:bCs/>
            </w:rPr>
            <w:fldChar w:fldCharType="separate"/>
          </w:r>
          <w:r>
            <w:rPr>
              <w:rFonts w:hint="eastAsia" w:ascii="楷体" w:hAnsi="楷体" w:eastAsia="楷体"/>
              <w:szCs w:val="24"/>
            </w:rPr>
            <w:t>郑棉：原油暴跌，大宗商品整体承压，美棉继续走弱</w:t>
          </w:r>
          <w:r>
            <w:rPr>
              <w:bCs/>
            </w:rPr>
            <w:fldChar w:fldCharType="end"/>
          </w:r>
        </w:p>
        <w:p>
          <w:r>
            <w:rPr>
              <w:bCs/>
            </w:rPr>
            <w:fldChar w:fldCharType="end"/>
          </w:r>
        </w:p>
      </w:sdtContent>
    </w:sdt>
    <w:p>
      <w:pPr>
        <w:rPr>
          <w:rFonts w:ascii="Times New Roman" w:hAnsi="Times New Roman" w:eastAsia="楷体"/>
          <w:b/>
        </w:rPr>
      </w:pPr>
    </w:p>
    <w:p>
      <w:pPr>
        <w:rPr>
          <w:rFonts w:ascii="Times New Roman" w:hAnsi="Times New Roman" w:eastAsia="楷体"/>
          <w:b/>
        </w:rPr>
      </w:pPr>
    </w:p>
    <w:p>
      <w:pPr>
        <w:rPr>
          <w:rFonts w:hint="eastAsia" w:ascii="Times New Roman" w:hAnsi="Times New Roman" w:eastAsia="楷体" w:cs="Times New Roman"/>
          <w:b/>
          <w:color w:val="823C0B"/>
          <w:sz w:val="24"/>
          <w:lang w:val="en-US" w:eastAsia="zh-CN"/>
        </w:rPr>
      </w:pPr>
    </w:p>
    <w:p>
      <w:pPr>
        <w:rPr>
          <w:rFonts w:hint="eastAsia" w:ascii="Times New Roman" w:hAnsi="Times New Roman" w:eastAsia="楷体" w:cs="Times New Roman"/>
          <w:b/>
          <w:color w:val="823C0B"/>
          <w:sz w:val="24"/>
          <w:lang w:val="en-US" w:eastAsia="zh-CN"/>
        </w:rPr>
      </w:pPr>
    </w:p>
    <w:p>
      <w:pPr>
        <w:rPr>
          <w:rFonts w:hint="eastAsia" w:ascii="Times New Roman" w:hAnsi="Times New Roman" w:eastAsia="楷体" w:cs="Times New Roman"/>
          <w:b/>
          <w:color w:val="823C0B"/>
          <w:sz w:val="24"/>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b/>
          <w:color w:val="823C0B"/>
          <w:sz w:val="24"/>
          <w:lang w:val="en-US" w:eastAsia="zh-CN"/>
        </w:rPr>
        <w:t>本文</w:t>
      </w:r>
      <w:r>
        <w:rPr>
          <w:rFonts w:hint="eastAsia" w:ascii="Times New Roman" w:hAnsi="Times New Roman" w:eastAsia="楷体" w:cs="Times New Roman"/>
          <w:b/>
          <w:color w:val="823C0B"/>
          <w:sz w:val="24"/>
        </w:rPr>
        <w:t>观点</w:t>
      </w:r>
      <w:r>
        <w:rPr>
          <w:rFonts w:hint="eastAsia" w:ascii="Times New Roman" w:hAnsi="Times New Roman" w:eastAsia="楷体" w:cs="Times New Roman"/>
          <w:b/>
          <w:color w:val="823C0B"/>
          <w:sz w:val="24"/>
          <w:lang w:eastAsia="zh-CN"/>
        </w:rPr>
        <w:t>、</w:t>
      </w:r>
      <w:r>
        <w:rPr>
          <w:rFonts w:hint="eastAsia" w:ascii="Times New Roman" w:hAnsi="Times New Roman" w:eastAsia="楷体" w:cs="Times New Roman"/>
          <w:b/>
          <w:color w:val="823C0B"/>
          <w:sz w:val="24"/>
          <w:lang w:val="en-US" w:eastAsia="zh-CN"/>
        </w:rPr>
        <w:t>结论和</w:t>
      </w:r>
      <w:r>
        <w:rPr>
          <w:rFonts w:hint="eastAsia" w:ascii="Times New Roman" w:hAnsi="Times New Roman" w:eastAsia="楷体" w:cs="Times New Roman"/>
          <w:b/>
          <w:color w:val="823C0B"/>
          <w:sz w:val="24"/>
        </w:rPr>
        <w:t>建议</w:t>
      </w:r>
      <w:r>
        <w:rPr>
          <w:rFonts w:hint="eastAsia" w:ascii="Times New Roman" w:hAnsi="Times New Roman" w:eastAsia="楷体" w:cs="Times New Roman"/>
          <w:b/>
          <w:color w:val="823C0B"/>
          <w:sz w:val="24"/>
          <w:lang w:val="en-US" w:eastAsia="zh-CN"/>
        </w:rPr>
        <w:t>等</w:t>
      </w:r>
      <w:r>
        <w:rPr>
          <w:rFonts w:hint="eastAsia" w:ascii="Times New Roman" w:hAnsi="Times New Roman" w:eastAsia="楷体" w:cs="Times New Roman"/>
          <w:b/>
          <w:color w:val="823C0B"/>
          <w:sz w:val="24"/>
        </w:rPr>
        <w:t>仅供参考，并不构成操作依据！请阅读文末免责声明。</w:t>
      </w:r>
    </w:p>
    <w:p>
      <w:pPr>
        <w:rPr>
          <w:rFonts w:hint="eastAsia"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0" w:name="_Toc19317"/>
      <w:bookmarkStart w:id="1" w:name="_Toc18033"/>
      <w:bookmarkStart w:id="2" w:name="_Toc32125"/>
      <w:bookmarkStart w:id="3" w:name="金融"/>
      <w:r>
        <w:rPr>
          <w:rFonts w:hint="eastAsia" w:ascii="Times New Roman" w:hAnsi="Times New Roman" w:eastAsia="楷体"/>
          <w:b/>
          <w:color w:val="823C0B"/>
          <w:sz w:val="30"/>
          <w:szCs w:val="30"/>
        </w:rPr>
        <w:t>[金融]</w:t>
      </w:r>
      <w:bookmarkEnd w:id="0"/>
      <w:bookmarkEnd w:id="1"/>
      <w:bookmarkEnd w:id="2"/>
    </w:p>
    <w:bookmarkEnd w:id="3"/>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4" w:name="_Toc16295"/>
      <w:bookmarkStart w:id="5" w:name="_Toc965"/>
      <w:bookmarkStart w:id="6" w:name="_Toc19495"/>
      <w:r>
        <w:rPr>
          <w:rFonts w:hint="eastAsia" w:ascii="Times New Roman" w:hAnsi="Times New Roman" w:eastAsia="楷体"/>
          <w:b/>
          <w:color w:val="000000" w:themeColor="text1"/>
          <w:sz w:val="24"/>
          <w:szCs w:val="24"/>
          <w14:textFill>
            <w14:solidFill>
              <w14:schemeClr w14:val="tx1"/>
            </w14:solidFill>
          </w14:textFill>
        </w:rPr>
        <w:t>股指：</w:t>
      </w:r>
      <w:bookmarkEnd w:id="4"/>
      <w:bookmarkEnd w:id="5"/>
      <w:r>
        <w:rPr>
          <w:rFonts w:hint="eastAsia" w:ascii="Times New Roman" w:hAnsi="Times New Roman" w:eastAsia="楷体"/>
          <w:b/>
          <w:color w:val="000000" w:themeColor="text1"/>
          <w:sz w:val="24"/>
          <w:szCs w:val="24"/>
          <w:highlight w:val="none"/>
          <w14:textFill>
            <w14:solidFill>
              <w14:schemeClr w14:val="tx1"/>
            </w14:solidFill>
          </w14:textFill>
        </w:rPr>
        <w:t>谨慎追高，低吸为主</w:t>
      </w:r>
      <w:bookmarkEnd w:id="6"/>
    </w:p>
    <w:p>
      <w:pPr>
        <w:ind w:left="630" w:leftChars="300"/>
        <w:rPr>
          <w:rFonts w:ascii="Times New Roman" w:hAnsi="Times New Roman" w:eastAsia="楷体"/>
          <w:sz w:val="24"/>
          <w:szCs w:val="24"/>
        </w:rPr>
      </w:pPr>
      <w:r>
        <w:rPr>
          <w:rFonts w:hint="eastAsia" w:ascii="Times New Roman" w:hAnsi="Times New Roman" w:eastAsia="楷体"/>
          <w:color w:val="000000" w:themeColor="text1"/>
          <w:sz w:val="24"/>
          <w:szCs w:val="24"/>
          <w14:textFill>
            <w14:solidFill>
              <w14:schemeClr w14:val="tx1"/>
            </w14:solidFill>
          </w14:textFill>
        </w:rPr>
        <w:t>政策预期驱动市场的逻辑计价后，市场暂无形成新主线，后续盘面驱动或将聚焦政策发力方向及其成效，同时还需关注资金面以及外部因素的变化情况。短线大盘前期平台的压力较为明显，量能难以释放，加之此前跳空缺口仍有向下引力，短线大盘还将蓄势整理运行，操作上谨慎追高， 低吸为主。</w:t>
      </w:r>
    </w:p>
    <w:p>
      <w:pPr>
        <w:pBdr>
          <w:top w:val="single" w:color="auto" w:sz="4" w:space="0"/>
        </w:pBdr>
        <w:outlineLvl w:val="0"/>
        <w:rPr>
          <w:rFonts w:ascii="Times New Roman" w:hAnsi="Times New Roman" w:eastAsia="楷体"/>
          <w:b/>
          <w:color w:val="823C0B"/>
          <w:sz w:val="30"/>
          <w:szCs w:val="30"/>
        </w:rPr>
      </w:pPr>
      <w:bookmarkStart w:id="7" w:name="_Toc20891"/>
      <w:bookmarkStart w:id="8" w:name="_Toc3096"/>
      <w:bookmarkStart w:id="9" w:name="金属"/>
      <w:bookmarkStart w:id="10" w:name="_Toc10970"/>
      <w:bookmarkStart w:id="11" w:name="农产品"/>
      <w:r>
        <w:rPr>
          <w:rFonts w:hint="eastAsia" w:ascii="Times New Roman" w:hAnsi="Times New Roman" w:eastAsia="楷体"/>
          <w:b/>
          <w:color w:val="823C0B"/>
          <w:sz w:val="30"/>
          <w:szCs w:val="30"/>
        </w:rPr>
        <w:t>[金属]</w:t>
      </w:r>
      <w:bookmarkEnd w:id="7"/>
      <w:bookmarkEnd w:id="8"/>
      <w:bookmarkEnd w:id="9"/>
      <w:bookmarkEnd w:id="10"/>
    </w:p>
    <w:p>
      <w:pPr>
        <w:ind w:left="420" w:leftChars="200"/>
        <w:outlineLvl w:val="1"/>
        <w:rPr>
          <w:rFonts w:ascii="楷体" w:hAnsi="楷体" w:eastAsia="楷体"/>
          <w:b/>
          <w:color w:val="000000" w:themeColor="text1"/>
          <w:sz w:val="24"/>
          <w:szCs w:val="24"/>
          <w14:textFill>
            <w14:solidFill>
              <w14:schemeClr w14:val="tx1"/>
            </w14:solidFill>
          </w14:textFill>
        </w:rPr>
      </w:pPr>
      <w:bookmarkStart w:id="12" w:name="_Toc27831"/>
      <w:bookmarkStart w:id="13" w:name="_Toc5371"/>
      <w:bookmarkStart w:id="14" w:name="_Toc8286"/>
      <w:r>
        <w:rPr>
          <w:rFonts w:hint="eastAsia" w:ascii="楷体" w:hAnsi="楷体" w:eastAsia="楷体"/>
          <w:b/>
          <w:color w:val="000000" w:themeColor="text1"/>
          <w:sz w:val="24"/>
          <w:szCs w:val="24"/>
          <w14:textFill>
            <w14:solidFill>
              <w14:schemeClr w14:val="tx1"/>
            </w14:solidFill>
          </w14:textFill>
        </w:rPr>
        <w:t>螺纹钢：</w:t>
      </w:r>
      <w:bookmarkEnd w:id="12"/>
      <w:bookmarkEnd w:id="13"/>
      <w:r>
        <w:rPr>
          <w:rFonts w:hint="eastAsia" w:ascii="楷体" w:hAnsi="楷体" w:eastAsia="楷体"/>
          <w:b/>
          <w:color w:val="000000" w:themeColor="text1"/>
          <w:sz w:val="24"/>
          <w:szCs w:val="24"/>
          <w:highlight w:val="none"/>
          <w14:textFill>
            <w14:solidFill>
              <w14:schemeClr w14:val="tx1"/>
            </w14:solidFill>
          </w14:textFill>
        </w:rPr>
        <w:t>成本及现货推动盘面价格继续上行</w:t>
      </w:r>
      <w:bookmarkEnd w:id="1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本周表需数据中性偏乐观，钢厂未有厂库累库压力，个别钢厂复产。前期近期利多出尽，对未来经济的乐观预期走弱，但仍处于强预期中，05合约估值或进行调整后，原料提涨计补库推动市场情绪走向乐观，建议低位多单继续持有，短期或在（3800,3900）偏强震荡，短期注意上方压力。</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5" w:name="_Toc4790"/>
      <w:bookmarkStart w:id="16" w:name="_Toc11356"/>
      <w:bookmarkStart w:id="17" w:name="_Toc30185"/>
      <w:r>
        <w:rPr>
          <w:rFonts w:hint="eastAsia" w:ascii="楷体" w:hAnsi="楷体" w:eastAsia="楷体"/>
          <w:b/>
          <w:color w:val="000000" w:themeColor="text1"/>
          <w:sz w:val="24"/>
          <w:szCs w:val="24"/>
          <w14:textFill>
            <w14:solidFill>
              <w14:schemeClr w14:val="tx1"/>
            </w14:solidFill>
          </w14:textFill>
        </w:rPr>
        <w:t>焦炭：</w:t>
      </w:r>
      <w:bookmarkEnd w:id="15"/>
      <w:bookmarkEnd w:id="16"/>
      <w:r>
        <w:rPr>
          <w:rFonts w:hint="eastAsia" w:ascii="楷体" w:hAnsi="楷体" w:eastAsia="楷体"/>
          <w:b/>
          <w:color w:val="000000" w:themeColor="text1"/>
          <w:sz w:val="24"/>
          <w:szCs w:val="24"/>
          <w14:textFill>
            <w14:solidFill>
              <w14:schemeClr w14:val="tx1"/>
            </w14:solidFill>
          </w14:textFill>
        </w:rPr>
        <w:t>第三轮提涨落地，盘面或继续震荡上行</w:t>
      </w:r>
      <w:bookmarkEnd w:id="17"/>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第三轮提降全面提出，个别钢厂同意提涨，但预计落地概率较大，钢厂尚未冬储下，按需补库，随冬储时间更加紧迫，盘面情绪或持续偏乐观。短期盘面或在（2880,2980）震荡。05合（2730,2830）的震荡。</w:t>
      </w:r>
    </w:p>
    <w:p>
      <w:pPr>
        <w:ind w:left="210" w:leftChars="100"/>
        <w:rPr>
          <w:rFonts w:ascii="楷体" w:hAnsi="楷体" w:eastAsia="楷体"/>
          <w:bCs/>
          <w:sz w:val="24"/>
          <w:szCs w:val="24"/>
        </w:rPr>
      </w:pPr>
    </w:p>
    <w:p>
      <w:pPr>
        <w:ind w:left="420" w:leftChars="200"/>
        <w:outlineLvl w:val="1"/>
        <w:rPr>
          <w:rFonts w:hint="eastAsia" w:ascii="楷体" w:hAnsi="楷体" w:eastAsia="楷体"/>
          <w:b/>
          <w:sz w:val="24"/>
          <w:szCs w:val="24"/>
        </w:rPr>
      </w:pPr>
      <w:bookmarkStart w:id="18" w:name="_Toc21045"/>
      <w:r>
        <w:rPr>
          <w:rFonts w:hint="eastAsia" w:ascii="楷体" w:hAnsi="楷体" w:eastAsia="楷体"/>
          <w:b/>
          <w:color w:val="000000" w:themeColor="text1"/>
          <w:sz w:val="24"/>
          <w:szCs w:val="24"/>
          <w14:textFill>
            <w14:solidFill>
              <w14:schemeClr w14:val="tx1"/>
            </w14:solidFill>
          </w14:textFill>
        </w:rPr>
        <w:t>焦煤：</w:t>
      </w:r>
      <w:r>
        <w:rPr>
          <w:rFonts w:hint="eastAsia" w:ascii="楷体" w:hAnsi="楷体" w:eastAsia="楷体"/>
          <w:b/>
          <w:sz w:val="24"/>
          <w:szCs w:val="24"/>
        </w:rPr>
        <w:t>蒙煤现货开始涨价，现货驱动下继续震荡上行</w:t>
      </w:r>
      <w:bookmarkEnd w:id="18"/>
    </w:p>
    <w:p>
      <w:pPr>
        <w:ind w:left="630" w:leftChars="300"/>
        <w:rPr>
          <w:rFonts w:ascii="楷体" w:hAnsi="楷体" w:eastAsia="楷体"/>
          <w:bCs/>
          <w:sz w:val="24"/>
          <w:szCs w:val="24"/>
        </w:rPr>
      </w:pPr>
      <w:r>
        <w:rPr>
          <w:rFonts w:hint="eastAsia" w:ascii="楷体" w:hAnsi="楷体" w:eastAsia="楷体"/>
          <w:sz w:val="24"/>
          <w:szCs w:val="24"/>
        </w:rPr>
        <w:t>第三轮提涨落地概率大之下刺激市场情绪，口岸蒙煤报价上涨50元/吨。焦煤价格震荡中枢上移，01合约或在（2200,2350）、05或在（1800,1900）震荡。</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9" w:name="_Toc9719"/>
      <w:bookmarkStart w:id="20" w:name="_Toc25617"/>
      <w:bookmarkStart w:id="21" w:name="_Toc26871"/>
      <w:r>
        <w:rPr>
          <w:rFonts w:hint="eastAsia" w:ascii="楷体" w:hAnsi="楷体" w:eastAsia="楷体"/>
          <w:b/>
          <w:color w:val="000000" w:themeColor="text1"/>
          <w:sz w:val="24"/>
          <w:szCs w:val="24"/>
          <w14:textFill>
            <w14:solidFill>
              <w14:schemeClr w14:val="tx1"/>
            </w14:solidFill>
          </w14:textFill>
        </w:rPr>
        <w:t>铜：</w:t>
      </w:r>
      <w:bookmarkEnd w:id="19"/>
      <w:bookmarkEnd w:id="20"/>
      <w:r>
        <w:rPr>
          <w:rFonts w:hint="eastAsia" w:ascii="楷体" w:hAnsi="楷体" w:eastAsia="楷体"/>
          <w:b/>
          <w:color w:val="000000" w:themeColor="text1"/>
          <w:sz w:val="24"/>
          <w:szCs w:val="24"/>
          <w14:textFill>
            <w14:solidFill>
              <w14:schemeClr w14:val="tx1"/>
            </w14:solidFill>
          </w14:textFill>
        </w:rPr>
        <w:t>延续区间震荡运行</w:t>
      </w:r>
      <w:bookmarkEnd w:id="21"/>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(2)库存：12月08日，SHFE仓单库存19753吨，减6614吨。LME仓单库存87375吨，减1100吨。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(3)精废价差：12月08日，Mysteel精废价差1452，收窄76。目前价差在合理价差1363之上。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全球经济持续走弱，表征制造业数据继续下探压力，仍将压制铜价上方空间。国内防疫政策调控继续优化，稳增长政策持续推进，市场对国内消费复苏存较大预期，股期联动。现货方面，精铜产量增量不及预期，库存仍保持在较低水平，废铜维持偏紧，精废价差持续收窄，对精铜替代弱化。整体铜价或仍将表现为区间震荡运行。关注上方压力位67500-68000。</w:t>
      </w:r>
    </w:p>
    <w:p>
      <w:pPr>
        <w:ind w:firstLine="480" w:firstLineChars="200"/>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2" w:name="_Toc8897"/>
      <w:bookmarkStart w:id="23" w:name="_Toc6247"/>
      <w:bookmarkStart w:id="24" w:name="_Toc6765"/>
      <w:r>
        <w:rPr>
          <w:rFonts w:hint="eastAsia" w:ascii="楷体" w:hAnsi="楷体" w:eastAsia="楷体"/>
          <w:b/>
          <w:color w:val="000000" w:themeColor="text1"/>
          <w:sz w:val="24"/>
          <w:szCs w:val="24"/>
          <w14:textFill>
            <w14:solidFill>
              <w14:schemeClr w14:val="tx1"/>
            </w14:solidFill>
          </w14:textFill>
        </w:rPr>
        <w:t>铝：</w:t>
      </w:r>
      <w:bookmarkEnd w:id="22"/>
      <w:bookmarkEnd w:id="23"/>
      <w:r>
        <w:rPr>
          <w:rFonts w:hint="eastAsia" w:ascii="楷体" w:hAnsi="楷体" w:eastAsia="楷体"/>
          <w:b/>
          <w:color w:val="000000" w:themeColor="text1"/>
          <w:sz w:val="24"/>
          <w:szCs w:val="24"/>
          <w14:textFill>
            <w14:solidFill>
              <w14:schemeClr w14:val="tx1"/>
            </w14:solidFill>
          </w14:textFill>
        </w:rPr>
        <w:t xml:space="preserve"> 供应修复库存拐点或现，短期价格高位震荡</w:t>
      </w:r>
      <w:bookmarkEnd w:id="24"/>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鲍威尔表示将放缓加息，欧洲通胀数据环比下降，美元延续弱势，海外市场资金情绪转好，美国非农数据超出预期，宏观利多大于利空影响。国内疫情管控风向转变，人民币温和走强，叠加国内利好政策频出，覆盖地产、新能源消费、绿色建材等领域，央行降准释放流动性，“保交楼”叠加基建专项债投放，向市场释放利多情绪。铝产产能缓慢恢复，产量逐步走升，需求进入消费淡季，下游企业刚需为主，铝库存维持低位去库，关注库存垒库拐点，短期铝价仍有支撑，短期价格偏强震荡运行。</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31430"/>
      <w:r>
        <w:rPr>
          <w:rFonts w:hint="eastAsia" w:ascii="楷体" w:hAnsi="楷体" w:eastAsia="楷体"/>
          <w:b/>
          <w:color w:val="000000" w:themeColor="text1"/>
          <w:sz w:val="24"/>
          <w:szCs w:val="24"/>
          <w14:textFill>
            <w14:solidFill>
              <w14:schemeClr w14:val="tx1"/>
            </w14:solidFill>
          </w14:textFill>
        </w:rPr>
        <w:t>锌：多空博弈沪锌高位震荡</w:t>
      </w:r>
      <w:bookmarkEnd w:id="25"/>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  8日沪锌隔夜收盘价格24735元/吨，跌幅0.22%，上海有色网0#锌锭（Zn99.995）现货报价25410元/吨，较上一统计日报价上涨50元/吨。美国11月非农数据超过预期引起鹰派注意，海外通胀略有降温，整体宏观情绪虽有扰动仍偏向利多。 国内疫情防控走向开放，市场投资情绪转向，多项市场利好政策出台刺激消费，国内延续内需强韧态势。锌矿原料供应趋宽松，中游冶炼利润持续向上，多地减停产产能逐步恢复，锌锭产量将缓慢抬升，但受疫情影响整体现货市场供应偏紧，贸易商惜售，下游消费进入淡季，库存维持低位，短期大量补库可能性较小，短期价格仍有较强支撑。</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14780"/>
      <w:r>
        <w:rPr>
          <w:rFonts w:hint="eastAsia" w:ascii="楷体" w:hAnsi="楷体" w:eastAsia="楷体"/>
          <w:b/>
          <w:color w:val="000000" w:themeColor="text1"/>
          <w:sz w:val="24"/>
          <w:szCs w:val="24"/>
          <w14:textFill>
            <w14:solidFill>
              <w14:schemeClr w14:val="tx1"/>
            </w14:solidFill>
          </w14:textFill>
        </w:rPr>
        <w:t>镍：低库存低流动性下价格波动剧烈，离场观望</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 整体宏观情绪乐观叠加镍板资源偏紧对镍价有所支撑，镍价表现震荡走强，海外经济下行压力逐渐显现，LME镍库存开始稳中回升，贴水持续走扩，供需边际存转弱迹象。交易上不建议追多，考虑短期绝对低库存和低流动性背景下，镍价波动仍将较大，建议投资者观望为宜。</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7" w:name="_Toc25155"/>
      <w:r>
        <w:rPr>
          <w:rFonts w:hint="eastAsia" w:ascii="楷体" w:hAnsi="楷体" w:eastAsia="楷体"/>
          <w:b/>
          <w:color w:val="000000" w:themeColor="text1"/>
          <w:sz w:val="24"/>
          <w:szCs w:val="24"/>
          <w14:textFill>
            <w14:solidFill>
              <w14:schemeClr w14:val="tx1"/>
            </w14:solidFill>
          </w14:textFill>
        </w:rPr>
        <w:t>不锈钢：成本支撑松动，价格反弹力度有限</w:t>
      </w:r>
      <w:bookmarkEnd w:id="27"/>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 近期防疫优化+地产悲观情绪修复，工业品整体表现偏强，提振不锈钢价，但现实需求疲弱库存累增，且镍铁价格再次下调，成本松动，或限制向上弹性。左侧交易者17400附近轻仓试空。</w:t>
      </w:r>
    </w:p>
    <w:p>
      <w:pPr>
        <w:rPr>
          <w:rFonts w:ascii="楷体" w:hAnsi="楷体" w:eastAsia="楷体"/>
          <w:bCs/>
          <w:sz w:val="24"/>
          <w:szCs w:val="24"/>
        </w:rPr>
      </w:pPr>
    </w:p>
    <w:p>
      <w:pPr>
        <w:ind w:left="420" w:leftChars="200"/>
        <w:outlineLvl w:val="1"/>
        <w:rPr>
          <w:rFonts w:ascii="楷体" w:hAnsi="楷体" w:eastAsia="楷体"/>
          <w:b/>
          <w:sz w:val="24"/>
          <w:szCs w:val="24"/>
        </w:rPr>
      </w:pPr>
      <w:bookmarkStart w:id="28" w:name="_Toc26664"/>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行情延续弱势，硅价跌幅收窄</w:t>
      </w:r>
      <w:bookmarkEnd w:id="28"/>
    </w:p>
    <w:p>
      <w:pPr>
        <w:ind w:left="630" w:leftChars="300"/>
        <w:rPr>
          <w:rFonts w:ascii="楷体" w:hAnsi="楷体" w:eastAsia="楷体"/>
          <w:sz w:val="24"/>
          <w:szCs w:val="24"/>
        </w:rPr>
      </w:pPr>
      <w:r>
        <w:rPr>
          <w:rFonts w:hint="eastAsia" w:ascii="楷体" w:hAnsi="楷体" w:eastAsia="楷体"/>
          <w:sz w:val="24"/>
          <w:szCs w:val="24"/>
        </w:rPr>
        <w:t>12月8日，华东地区553（通氧）19100元/吨，较上个统计日下降50元/吨，下游采购延续冷清状态，市场继续回调，但跌幅收窄。从基本面来看，新疆、宁夏硅煤、台塑焦均有所上涨，以及西南地区枯水期电价上调，行业平均成本上升对硅价有一定支撑。从政策面来看，政策重启房企股权融资，有机硅、铝合金需求预期有所好转;以及工业硅期货、期权获批，有望带动市场热度，预计更多期现商将参与现货市场。综合来看，短期需求难有明显改善，或将延续偏弱行情，但成本支撑，以及政策端发力改善需求预期，预计市场进一步下跌空间有限。</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9" w:name="化工"/>
      <w:r>
        <w:rPr>
          <w:rFonts w:hint="eastAsia" w:ascii="Times New Roman" w:hAnsi="Times New Roman" w:eastAsia="楷体"/>
          <w:b/>
          <w:color w:val="823C0B"/>
          <w:sz w:val="30"/>
          <w:szCs w:val="30"/>
        </w:rPr>
        <w:t xml:space="preserve"> </w:t>
      </w:r>
      <w:bookmarkStart w:id="30" w:name="_Toc2306"/>
      <w:r>
        <w:rPr>
          <w:rFonts w:hint="eastAsia" w:ascii="Times New Roman" w:hAnsi="Times New Roman" w:eastAsia="楷体"/>
          <w:b/>
          <w:color w:val="823C0B"/>
          <w:sz w:val="30"/>
          <w:szCs w:val="30"/>
        </w:rPr>
        <w:t>[化工]</w:t>
      </w:r>
      <w:bookmarkEnd w:id="29"/>
      <w:bookmarkEnd w:id="30"/>
    </w:p>
    <w:p>
      <w:pPr>
        <w:ind w:firstLine="482" w:firstLineChars="200"/>
        <w:outlineLvl w:val="1"/>
        <w:rPr>
          <w:rFonts w:ascii="Times New Roman" w:hAnsi="Times New Roman" w:eastAsia="楷体"/>
          <w:b/>
          <w:sz w:val="24"/>
          <w:szCs w:val="24"/>
        </w:rPr>
      </w:pPr>
      <w:bookmarkStart w:id="31" w:name="_Toc15367"/>
      <w:r>
        <w:rPr>
          <w:rFonts w:hint="eastAsia" w:ascii="Times New Roman" w:hAnsi="Times New Roman" w:eastAsia="楷体"/>
          <w:b/>
          <w:color w:val="000000" w:themeColor="text1"/>
          <w:sz w:val="24"/>
          <w:szCs w:val="24"/>
          <w14:textFill>
            <w14:solidFill>
              <w14:schemeClr w14:val="tx1"/>
            </w14:solidFill>
          </w14:textFill>
        </w:rPr>
        <w:t>乙二醇：</w:t>
      </w:r>
      <w:r>
        <w:rPr>
          <w:rFonts w:hint="eastAsia" w:ascii="Times New Roman" w:hAnsi="Times New Roman" w:eastAsia="楷体"/>
          <w:b/>
          <w:sz w:val="24"/>
          <w:szCs w:val="24"/>
        </w:rPr>
        <w:t>供应累库预期  走势承压</w:t>
      </w:r>
      <w:bookmarkEnd w:id="31"/>
    </w:p>
    <w:p>
      <w:pPr>
        <w:ind w:left="630" w:leftChars="300"/>
        <w:rPr>
          <w:rFonts w:ascii="楷体" w:hAnsi="楷体" w:eastAsia="楷体"/>
          <w:sz w:val="24"/>
          <w:szCs w:val="24"/>
        </w:rPr>
      </w:pPr>
      <w:r>
        <w:rPr>
          <w:rFonts w:hint="eastAsia" w:ascii="楷体" w:hAnsi="楷体" w:eastAsia="楷体"/>
          <w:sz w:val="24"/>
          <w:szCs w:val="24"/>
        </w:rPr>
        <w:t>库存方面，12.5 华东主港地区MEG港口库存约88.8万吨附近，环比上期减少3.2万吨。12月5日至12月11日，主港计划到货总数为22万吨，环比增加5.4万吨。供需情况，截至12月8日，中国大陆地区乙二醇整体开工负荷在56.12%（-1.03%），其中煤制乙二醇开工负荷在39.33%（-1.82%），乙二醇负荷小幅下滑。新装置方面，海南一套80万吨/年的MEG新装置计划于本月底前后投产。从聚酯需求端来看，截至本周四，初步核算国内大陆地区聚酯负荷在69.5%，环比小降。终端开工向上修复，江浙终端工厂原料备货追加，各地放开管控，尾单有新增。截至12.8，江浙加弹开工率52%（+4%）、江浙织机开工率47%（+12%）、浙江印染开工率56%（+11%）。综合来看，近期宏观面及基本面稍有改善，但随着假期临近，终端降负及放假预期较为确定。近期港口到港量较大，聚酯工厂备货量累库压力加大。短期终端有所改善，但直接需求聚酯端走弱明显，供需过剩问题仍存，中长线市场依旧承压为主。</w:t>
      </w:r>
    </w:p>
    <w:p>
      <w:pPr>
        <w:ind w:firstLine="480" w:firstLineChars="200"/>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2" w:name="_Toc6830"/>
      <w:r>
        <w:rPr>
          <w:rFonts w:ascii="楷体" w:hAnsi="楷体" w:eastAsia="楷体"/>
          <w:b/>
          <w:color w:val="000000" w:themeColor="text1"/>
          <w:sz w:val="24"/>
          <w:szCs w:val="24"/>
          <w14:textFill>
            <w14:solidFill>
              <w14:schemeClr w14:val="tx1"/>
            </w14:solidFill>
          </w14:textFill>
        </w:rPr>
        <w:t>PTA</w:t>
      </w:r>
      <w:r>
        <w:rPr>
          <w:rFonts w:hint="eastAsia" w:ascii="楷体" w:hAnsi="楷体" w:eastAsia="楷体"/>
          <w:b/>
          <w:color w:val="000000" w:themeColor="text1"/>
          <w:sz w:val="24"/>
          <w:szCs w:val="24"/>
          <w14:textFill>
            <w14:solidFill>
              <w14:schemeClr w14:val="tx1"/>
            </w14:solidFill>
          </w14:textFill>
        </w:rPr>
        <w:t>：供需阶段性改善 留意短多机会</w:t>
      </w:r>
      <w:bookmarkEnd w:id="32"/>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本周期扬子60万吨停车，仪征35万吨重启，个别装置负荷小幅调整，至周四PTA负荷降至66.3%（-2.2%）。市场关注的新装置方面，山东威联PTA装置一条线计划近期投料中，但尚未产出合格品。聚酯方面，本周聚酯装置延续检修，长丝短纤均有涉及，且瓶片装置轮修中，负荷也有下调，综合聚酯负荷继续下滑。截至本周四，初步核算国内大陆地区聚酯负荷在69.5%。聚酯长丝大厂联合检查，维持前期减产比例不变。后续负荷将跟随下游开机率调整。终端方面，随着防疫政策放开及天气转冷，近期终端部分工厂订单情况有所改善，江浙终端工厂原料备货追加。涤纶长丝连续试探性小幅涨价，产销阶段性良好，行业库存正在逐步去化，高库存压力缓解。局部经编和圆机企业坯布出货有少许转好，下游信心有所修复，囤货意愿增强。短期来看，PTA存量装置检修增多，增量装置尚未稳定投产，且库存尚在低位，供给端压力不大。近期终端投机性需求的确有所改善，聚酯产销阶段性有提升。随着油价企稳反弹，TA近月合约存短多机会。中长期来看，PX和PTA新产能投放预期下，12月起PX进入到大幅度累库时期，加工费预计将进一步压缩。行业实质性需求恢复仍需要缓冲期，聚酯降负及放假预期，PTA供需累库预期仍存。仅供参考。</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3" w:name="_Toc11845"/>
      <w:r>
        <w:rPr>
          <w:rFonts w:hint="eastAsia" w:ascii="楷体" w:hAnsi="楷体" w:eastAsia="楷体"/>
          <w:b/>
          <w:color w:val="000000" w:themeColor="text1"/>
          <w:sz w:val="24"/>
          <w:szCs w:val="24"/>
          <w14:textFill>
            <w14:solidFill>
              <w14:schemeClr w14:val="tx1"/>
            </w14:solidFill>
          </w14:textFill>
        </w:rPr>
        <w:t>聚烯烃：基本面无利好提振，聚烯烃或延续窄幅偏弱调整</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聚烯烃近期窄幅回落。库存方面，本周国内PE库存环比下滑3.58%，其中样本主要生产环节PE库存环比下降10.21%，PE样本港口库存环比增加1.45%，样本贸易企业库存环比下降0.64%。本周PP库存环比下降12.58%。其中主要生产环节PP库存下降、贸易商库存、港口库存上升。供应方面，聚乙烯本周暂无新增检修计划，中沙石化和茂名石化等多套装置（共计78万吨产能）将于本周开机重启；PP本周新增延长中煤和浙江石化共计85万吨装置停车检修，东莞石化60万吨装置将于本周开车重启。本周荆门石化一12万吨产能装置将开车重启。成本端方面，尽管美国原油库存持续下降，但美国汽油和成品油库存大幅度增长，且对美联储更激进的货币紧缩政策担忧加剧， 布伦特原油期货五个交易日连跌，欧美原油期货创近一年以来新低，目前油制PE利润大约为-37元/吨，油制PP利润大约为-1229元/吨，相较年度偏低位置已有较大恢复；需求方面，PE下游方面，棚膜需求持续减弱，地膜订单跟进缓慢，农膜厂家仍略显谨慎，坚持刚需采购。PP方面，BOPP整体成交一般，BOPP企业未交付订单多数在5-15天，部分至12月下旬。综合来看，原油成本端价格偏一般，对聚烯烃支撑减弱，盘面交易弱预期的逻辑依旧存在。12月PE、PP仍有多套装置等待投产，叠加进口套利窗口打开，供应压力不减。下游需求多以刚性补库为主，需求较弱，塑料供需趋弱累库下高空思路不变，上行空间有限。聚烯烃今日预计在成本下滑、下游未有改善下窄幅偏弱整理，短期PP 7700左右支撑较强和PE 8100压力位左右支撑较强。</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Times New Roman" w:hAnsi="Times New Roman" w:eastAsia="楷体"/>
          <w:b/>
          <w:color w:val="823C0B"/>
          <w:sz w:val="30"/>
          <w:szCs w:val="30"/>
        </w:rPr>
      </w:pPr>
      <w:r>
        <w:rPr>
          <w:rFonts w:hint="eastAsia" w:ascii="Times New Roman" w:hAnsi="Times New Roman" w:eastAsia="楷体"/>
          <w:b/>
          <w:color w:val="823C0B"/>
          <w:sz w:val="30"/>
          <w:szCs w:val="30"/>
        </w:rPr>
        <w:t xml:space="preserve"> </w:t>
      </w:r>
      <w:bookmarkStart w:id="34" w:name="_Toc24773"/>
      <w:r>
        <w:rPr>
          <w:rFonts w:hint="eastAsia" w:ascii="Times New Roman" w:hAnsi="Times New Roman" w:eastAsia="楷体"/>
          <w:b/>
          <w:color w:val="823C0B"/>
          <w:sz w:val="30"/>
          <w:szCs w:val="30"/>
        </w:rPr>
        <w:t>[农产品]</w:t>
      </w:r>
      <w:bookmarkEnd w:id="11"/>
      <w:bookmarkEnd w:id="34"/>
    </w:p>
    <w:p>
      <w:pPr>
        <w:ind w:left="420" w:leftChars="200"/>
        <w:outlineLvl w:val="1"/>
        <w:rPr>
          <w:rFonts w:hint="eastAsia" w:ascii="楷体" w:hAnsi="楷体" w:eastAsia="楷体"/>
          <w:b/>
          <w:sz w:val="24"/>
          <w:szCs w:val="24"/>
        </w:rPr>
      </w:pPr>
      <w:bookmarkStart w:id="35" w:name="_Toc19878"/>
      <w:r>
        <w:rPr>
          <w:rFonts w:hint="eastAsia" w:ascii="楷体" w:hAnsi="楷体" w:eastAsia="楷体"/>
          <w:b/>
          <w:color w:val="000000" w:themeColor="text1"/>
          <w:sz w:val="24"/>
          <w:szCs w:val="24"/>
          <w14:textFill>
            <w14:solidFill>
              <w14:schemeClr w14:val="tx1"/>
            </w14:solidFill>
          </w14:textFill>
        </w:rPr>
        <w:t>豆粕：</w:t>
      </w:r>
      <w:r>
        <w:rPr>
          <w:rFonts w:hint="eastAsia" w:ascii="楷体" w:hAnsi="楷体" w:eastAsia="楷体"/>
          <w:b/>
          <w:sz w:val="24"/>
          <w:szCs w:val="24"/>
        </w:rPr>
        <w:t>期现回归，走势偏强</w:t>
      </w:r>
      <w:bookmarkEnd w:id="35"/>
    </w:p>
    <w:p>
      <w:pPr>
        <w:ind w:left="630" w:leftChars="300"/>
        <w:rPr>
          <w:rFonts w:ascii="楷体" w:hAnsi="楷体" w:eastAsia="楷体"/>
          <w:sz w:val="24"/>
          <w:szCs w:val="24"/>
        </w:rPr>
      </w:pPr>
      <w:r>
        <w:rPr>
          <w:rFonts w:hint="eastAsia" w:ascii="楷体" w:hAnsi="楷体" w:eastAsia="楷体"/>
          <w:sz w:val="24"/>
          <w:szCs w:val="24"/>
        </w:rPr>
        <w:t>外盘方面，CBOT大豆维持偏强震荡，因自身压榨需求强劲，南美天气炒作及中国防疫政策优化需求或改善。当前进入12月份南美关键种植阶段，市场重心转向南美，阿根廷因天气干燥种植进度偏慢，形成天气升水。国内市场，随着进口大豆陆续到港，大豆港口库存低点已现，库存回升。大部分油厂恢复开工，开机率大幅回升压榨增加，豆粕库存拐点逐步显现。下游近期猪价有所回升，但二次育肥临近尾声，生猪临近集中出栏阶段，饲企和养殖企业等采购需求减弱，但仍保持刚需补库及后续有节前备货需求。随着供应有所改善豆粕现货价格回落但11月大豆到港仍不及预期，短期临近交割月呈现期货向现货靠近实现基差回归的情况，若未明显利空行情下，豆粕01预计维持偏强震荡，建议短线低多操作；中长期维持供给恢复预期，美豆及豆粕价格重心下移观点不变，关注南美种植情况，待丰产落地。</w:t>
      </w:r>
    </w:p>
    <w:p>
      <w:pPr>
        <w:ind w:firstLine="480" w:firstLineChars="200"/>
        <w:rPr>
          <w:rFonts w:ascii="楷体" w:hAnsi="楷体" w:eastAsia="楷体"/>
          <w:bCs/>
          <w:sz w:val="24"/>
          <w:szCs w:val="24"/>
        </w:rPr>
      </w:pPr>
    </w:p>
    <w:p>
      <w:pPr>
        <w:ind w:left="420" w:leftChars="200"/>
        <w:outlineLvl w:val="1"/>
        <w:rPr>
          <w:rFonts w:ascii="楷体" w:hAnsi="楷体" w:eastAsia="楷体"/>
          <w:b/>
          <w:sz w:val="24"/>
          <w:szCs w:val="24"/>
        </w:rPr>
      </w:pPr>
      <w:bookmarkStart w:id="36" w:name="_Toc21845"/>
      <w:r>
        <w:rPr>
          <w:rFonts w:hint="eastAsia" w:ascii="楷体" w:hAnsi="楷体" w:eastAsia="楷体"/>
          <w:b/>
          <w:color w:val="000000" w:themeColor="text1"/>
          <w:sz w:val="24"/>
          <w:szCs w:val="24"/>
          <w14:textFill>
            <w14:solidFill>
              <w14:schemeClr w14:val="tx1"/>
            </w14:solidFill>
          </w14:textFill>
        </w:rPr>
        <w:t>油脂：</w:t>
      </w:r>
      <w:r>
        <w:rPr>
          <w:rFonts w:hint="eastAsia" w:ascii="楷体" w:hAnsi="楷体" w:eastAsia="楷体"/>
          <w:b/>
          <w:sz w:val="24"/>
          <w:szCs w:val="24"/>
        </w:rPr>
        <w:t>短期维持宽幅震荡，走势偏弱</w:t>
      </w:r>
      <w:bookmarkEnd w:id="36"/>
    </w:p>
    <w:p>
      <w:pPr>
        <w:ind w:left="630" w:leftChars="300"/>
        <w:rPr>
          <w:rFonts w:ascii="楷体" w:hAnsi="楷体" w:eastAsia="楷体"/>
          <w:sz w:val="24"/>
          <w:szCs w:val="24"/>
        </w:rPr>
      </w:pPr>
      <w:r>
        <w:rPr>
          <w:rFonts w:hint="eastAsia" w:ascii="楷体" w:hAnsi="楷体" w:eastAsia="楷体"/>
          <w:sz w:val="24"/>
          <w:szCs w:val="24"/>
        </w:rPr>
        <w:t>虽印尼B35生柴政策带来利好提振，但在出口环比下滑、国际原油及外盘走势持续偏弱下拖累油脂走势。棕榈油后续基本面支撑主要来自产地减产担忧及印尼出口预期收紧，但有预期马棕11月库存减幅或不及预期，关注之后MPOB数据公布及天气对产量的影响；同时印尼将逐步恢复出口专项税，且DMO出口配比下调至1：8，出口预期收紧将利好马来出口需求，库存顶点或已出现，对盘面构成支撑。而国内棕榈油供应较宽松，需求方面在冬季消费淡季下增量有限。近期豆油下游成交有所回暖，表观消费增加，因棕榈油进入季节性消费淡季提振豆油替代消费，且各地防疫政策放宽或刺激餐饮消费，春节前仍有集中备货需求。随着11月进口大豆到港陆续增加，港口大豆库存开始累库。油厂压榨持续恢复后供应预计由紧转宽，豆油预计进入累库阶段，延续近强远弱格局。菜油在供应边际预期改善下，现货价继续回落，基差松动。随着加籽大量上市，国内第四季进口度预估到港为180万吨。菜籽库存随着11月到港增加而回升，但由于部分船期延迟等到港不及预期。同时在刚需以及临近春节前备货下，菜油库存修复仍需时间。预计油脂在四季度供应边际增加下，上方空间有限，短期油脂单边仍然受原油及宏观扰动带来宽幅波动，建议波段操作，中长期关注供给格局转变带来的菜油空配机会。</w:t>
      </w:r>
    </w:p>
    <w:p>
      <w:pPr>
        <w:ind w:firstLine="480" w:firstLineChars="200"/>
        <w:rPr>
          <w:rFonts w:ascii="楷体" w:hAnsi="楷体" w:eastAsia="楷体"/>
          <w:bCs/>
          <w:sz w:val="24"/>
          <w:szCs w:val="24"/>
        </w:rPr>
      </w:pPr>
    </w:p>
    <w:p>
      <w:pPr>
        <w:pStyle w:val="12"/>
        <w:spacing w:before="60" w:beforeAutospacing="0" w:after="60" w:afterAutospacing="0"/>
        <w:ind w:left="420" w:leftChars="200"/>
        <w:outlineLvl w:val="1"/>
        <w:rPr>
          <w:rFonts w:hint="eastAsia" w:ascii="楷体" w:hAnsi="楷体" w:eastAsia="楷体"/>
          <w:b/>
        </w:rPr>
      </w:pPr>
      <w:bookmarkStart w:id="37" w:name="_Toc264"/>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玉米市场逻辑未变</w:t>
      </w:r>
      <w:bookmarkEnd w:id="37"/>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玉米而言，由于国内现货价格持续飙升，加上国内疫情防控政策发生一些变化，带动前期供需阶段性紧张局面有所缓解。而外盘CBOT玉米期价持续弱势，美湾FOB升贴水大幅回落，加上人民币升值因素，进口到港成本大幅回落，已经较国产玉米具备性价比优势。在这种情况下，可以合理预期市场或逐步转向新作上市压力。维持谨慎看空观点，建议谨慎投资者观望，激进投资者可以考虑继续持有前期空单。</w:t>
      </w:r>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淀粉而言，近期淀粉-玉米价差出现显著分化，近月收窄而远月继续走扩，表现分化的主要原因有二，其一是疫情对需求的抑制导致供需改善后移，其二是副产品价格下跌的节奏影响行业期现货生产利润以及行业开率乃至行业供需的传导。但需要留意的是，接下来淀粉-玉米价差同样面临原料端即玉米期现货回落的风险，我们建议投资者前期淀粉-玉米价差离场后观望为宜。</w:t>
      </w:r>
    </w:p>
    <w:p>
      <w:pPr>
        <w:pStyle w:val="12"/>
        <w:spacing w:before="60" w:beforeAutospacing="0" w:after="60" w:afterAutospacing="0"/>
        <w:ind w:left="630" w:leftChars="300"/>
        <w:rPr>
          <w:rFonts w:hint="eastAsia" w:ascii="楷体" w:hAnsi="楷体" w:eastAsia="楷体"/>
        </w:rPr>
      </w:pPr>
    </w:p>
    <w:p>
      <w:pPr>
        <w:pStyle w:val="12"/>
        <w:spacing w:before="60" w:beforeAutospacing="0" w:after="60" w:afterAutospacing="0"/>
        <w:ind w:left="420" w:leftChars="200"/>
        <w:outlineLvl w:val="1"/>
        <w:rPr>
          <w:rFonts w:hint="eastAsia" w:ascii="楷体" w:hAnsi="楷体" w:eastAsia="楷体"/>
          <w:b/>
          <w:bCs/>
          <w:color w:val="000000" w:themeColor="text1"/>
          <w14:textFill>
            <w14:solidFill>
              <w14:schemeClr w14:val="tx1"/>
            </w14:solidFill>
          </w14:textFill>
        </w:rPr>
      </w:pPr>
      <w:bookmarkStart w:id="38" w:name="_Toc27804"/>
      <w:r>
        <w:rPr>
          <w:rFonts w:hint="eastAsia" w:ascii="楷体" w:hAnsi="楷体" w:eastAsia="楷体"/>
          <w:b/>
          <w:bCs/>
          <w:color w:val="000000" w:themeColor="text1"/>
          <w14:textFill>
            <w14:solidFill>
              <w14:schemeClr w14:val="tx1"/>
            </w14:solidFill>
          </w14:textFill>
        </w:rPr>
        <w:t>畜禽养殖：生猪现货带动主力期价再创新低</w:t>
      </w:r>
      <w:bookmarkEnd w:id="38"/>
    </w:p>
    <w:p>
      <w:pPr>
        <w:pStyle w:val="12"/>
        <w:spacing w:before="60" w:beforeAutospacing="0" w:after="60" w:afterAutospacing="0"/>
        <w:ind w:left="630" w:leftChars="300"/>
        <w:rPr>
          <w:rFonts w:hint="eastAsia" w:ascii="楷体" w:hAnsi="楷体" w:eastAsia="楷体"/>
        </w:rPr>
      </w:pPr>
      <w:r>
        <w:rPr>
          <w:rFonts w:hint="eastAsia" w:ascii="楷体" w:hAnsi="楷体" w:eastAsia="楷体"/>
        </w:rPr>
        <w:t>对于生猪而言，由于猪价于10月下旬见到目前已知高点，随后持续大幅回落，市场多拿今年与2019年进行对比，继而预计生猪周期拐点或已经出现。但需要留意的是今年供应包括进口、储备和冷冻库存均相对低于2019年。考虑到随着气温下降，市场熏腊需求逐步启动，接下来市场将根据现货走势来判断供需状况。而近期猪价持续弱势，甚至跌破前期低点，表明需求表现弱于之前预期，转为中性观点，建议观望为宜。</w:t>
      </w:r>
    </w:p>
    <w:p>
      <w:pPr>
        <w:pStyle w:val="12"/>
        <w:spacing w:before="60" w:beforeAutospacing="0" w:after="60" w:afterAutospacing="0"/>
        <w:ind w:left="630" w:leftChars="300"/>
        <w:rPr>
          <w:rFonts w:ascii="楷体" w:hAnsi="楷体" w:eastAsia="楷体"/>
        </w:rPr>
      </w:pPr>
      <w:r>
        <w:rPr>
          <w:rFonts w:hint="eastAsia" w:ascii="楷体" w:hAnsi="楷体" w:eastAsia="楷体"/>
        </w:rPr>
        <w:t>对于鸡蛋而言，在我们看来，动物蛋白供应格局类似于2019年，而鸡蛋供需两弱格局则类似于去年，接下来需要关注两个方面，一方面基于动物蛋白供应格局需要关注接下来的猪价走势节奏，这主要源于生猪高价下的替代需求；另一方面基于鸡蛋供需格局则需要留意养殖户淘汰和补栏意愿，及其接下来疫情等因素对需求端的影响。基于动物蛋白供应和鸡蛋自身供需格局，继续持中期看多观点，建议谨慎投资者观望，激进投资者持有前期多单。</w:t>
      </w:r>
    </w:p>
    <w:p>
      <w:pPr>
        <w:ind w:firstLine="480" w:firstLineChars="200"/>
        <w:rPr>
          <w:rFonts w:ascii="楷体" w:hAnsi="楷体" w:eastAsia="楷体"/>
          <w:sz w:val="24"/>
          <w:szCs w:val="24"/>
        </w:rPr>
      </w:pPr>
    </w:p>
    <w:p>
      <w:pPr>
        <w:ind w:left="420" w:leftChars="200"/>
        <w:outlineLvl w:val="1"/>
        <w:rPr>
          <w:rFonts w:hint="eastAsia" w:ascii="楷体" w:hAnsi="楷体" w:eastAsia="楷体"/>
          <w:b/>
          <w:sz w:val="24"/>
          <w:szCs w:val="24"/>
        </w:rPr>
      </w:pPr>
      <w:bookmarkStart w:id="39" w:name="_Toc30983"/>
      <w:r>
        <w:rPr>
          <w:rFonts w:hint="eastAsia" w:ascii="楷体" w:hAnsi="楷体" w:eastAsia="楷体"/>
          <w:b/>
          <w:sz w:val="24"/>
          <w:szCs w:val="24"/>
        </w:rPr>
        <w:t>郑棉：原油暴跌，大宗商品整体承压，美棉继续走弱</w:t>
      </w:r>
      <w:bookmarkEnd w:id="39"/>
    </w:p>
    <w:p>
      <w:pPr>
        <w:ind w:left="630" w:leftChars="300"/>
        <w:rPr>
          <w:rFonts w:hint="eastAsia" w:ascii="楷体" w:hAnsi="楷体" w:eastAsia="楷体"/>
          <w:sz w:val="24"/>
          <w:szCs w:val="24"/>
        </w:rPr>
      </w:pPr>
      <w:r>
        <w:rPr>
          <w:rFonts w:hint="eastAsia" w:ascii="楷体" w:hAnsi="楷体" w:eastAsia="楷体"/>
          <w:sz w:val="24"/>
          <w:szCs w:val="24"/>
        </w:rPr>
        <w:t>郑棉偏强震荡，观望</w:t>
      </w:r>
    </w:p>
    <w:p>
      <w:pPr>
        <w:ind w:left="630" w:leftChars="300"/>
        <w:rPr>
          <w:rFonts w:ascii="楷体" w:hAnsi="楷体" w:eastAsia="楷体"/>
          <w:sz w:val="24"/>
          <w:szCs w:val="24"/>
        </w:rPr>
      </w:pPr>
      <w:r>
        <w:rPr>
          <w:rFonts w:hint="eastAsia" w:ascii="楷体" w:hAnsi="楷体" w:eastAsia="楷体"/>
          <w:sz w:val="24"/>
          <w:szCs w:val="24"/>
        </w:rPr>
        <w:t>据美国农业部（USDA），11.25-12.1日一周美国2022/23年度陆地棉净签约7416吨（含签约8618吨，取消前期签约1202吨），较前一周骤增98%，但整体依然处于历史偏低水平；装运陆地棉32001吨，较前一周略增加1%。净签约本年度皮马棉340吨，较前一周减少17%；装运皮马棉1565吨，较前一周大幅增加432%。新年度陆地棉签约5987吨，新年度皮马棉签约45吨。出口数据依然疲弱，美棉等待供需平衡表的指引。</w:t>
      </w:r>
    </w:p>
    <w:p>
      <w:pPr>
        <w:ind w:firstLine="480" w:firstLineChars="200"/>
        <w:rPr>
          <w:rFonts w:ascii="楷体" w:hAnsi="楷体" w:eastAsia="楷体"/>
          <w:bCs/>
          <w:sz w:val="24"/>
          <w:szCs w:val="24"/>
        </w:rPr>
      </w:pP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40" w:name="_Toc12779"/>
      <w:bookmarkStart w:id="41" w:name="_Toc71212556"/>
      <w:bookmarkStart w:id="42" w:name="_Toc19667"/>
      <w:bookmarkStart w:id="43" w:name="_Toc72481108"/>
      <w:bookmarkStart w:id="44" w:name="_Toc98426751"/>
      <w:r>
        <w:rPr>
          <w:rFonts w:ascii="Times New Roman" w:hAnsi="Times New Roman" w:eastAsia="楷体"/>
          <w:b/>
          <w:color w:val="411D05"/>
          <w:sz w:val="30"/>
          <w:szCs w:val="30"/>
        </w:rPr>
        <w:t>免责声明</w:t>
      </w:r>
      <w:bookmarkEnd w:id="40"/>
      <w:bookmarkEnd w:id="41"/>
      <w:bookmarkEnd w:id="42"/>
      <w:bookmarkEnd w:id="43"/>
      <w:bookmarkEnd w:id="44"/>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7"/>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hint="default" w:ascii="Times New Roman" w:hAnsi="Times New Roman" w:eastAsia="楷体"/>
                <w:b/>
                <w:bCs/>
                <w:color w:val="823C0B"/>
                <w:lang w:val="en-US" w:eastAsia="zh-CN"/>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w:rPr>
        <w:rFonts w:hint="eastAsia" w:ascii="楷体" w:hAnsi="楷体" w:eastAsia="楷体" w:cs="Times New Roman"/>
        <w:b/>
        <w:color w:val="833C0B"/>
        <w:sz w:val="21"/>
        <w:lang w:val="en-US" w:eastAsia="zh-CN" w:bidi="ar"/>
      </w:rPr>
      <w:t>广州期货提醒各位投资者</w:t>
    </w:r>
    <w:r>
      <w:rPr>
        <w:rFonts w:hint="eastAsia" w:ascii="楷体" w:hAnsi="楷体" w:eastAsia="楷体" w:cs="Times New Roman"/>
        <w:b/>
        <w:color w:val="833C0B"/>
        <w:sz w:val="21"/>
        <w:lang w:bidi="ar"/>
      </w:rPr>
      <w:t>，期市有风险，入市需谨慎！请阅读文末免责声明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 xml:space="preserve">Page </w:t>
                          </w:r>
                          <w:r>
                            <w:rPr>
                              <w:rFonts w:hint="eastAsia" w:ascii="Times New Roman" w:hAnsi="Times New Roman" w:eastAsia="楷体" w:cs="Times New Roman"/>
                              <w:b/>
                              <w:color w:val="833C0B"/>
                              <w:sz w:val="21"/>
                              <w:lang w:val="en-US" w:eastAsia="zh-CN" w:bidi="ar"/>
                            </w:rPr>
                            <w:t>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 xml:space="preserve">Page </w:t>
                    </w:r>
                    <w:r>
                      <w:rPr>
                        <w:rFonts w:hint="eastAsia" w:ascii="Times New Roman" w:hAnsi="Times New Roman" w:eastAsia="楷体" w:cs="Times New Roman"/>
                        <w:b/>
                        <w:color w:val="833C0B"/>
                        <w:sz w:val="21"/>
                        <w:lang w:val="en-US" w:eastAsia="zh-CN" w:bidi="ar"/>
                      </w:rPr>
                      <w:t>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3"/>
                      <w:rPr>
                        <w:rFonts w:hint="eastAsia" w:ascii="Times New Roman" w:hAnsi="Times New Roman" w:eastAsia="楷体" w:cs="Times New Roman"/>
                        <w:b/>
                        <w:color w:val="833C0B"/>
                        <w:sz w:val="21"/>
                        <w:lang w:eastAsia="zh-CN"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hint="eastAsia" w:ascii="Times New Roman" w:hAnsi="Times New Roman" w:eastAsia="楷体" w:cs="Times New Roman"/>
                              <w:b/>
                              <w:color w:val="833C0B"/>
                              <w:sz w:val="21"/>
                              <w:lang w:bidi="ar"/>
                            </w:rPr>
                            <w:t>3</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hint="eastAsia" w:ascii="Times New Roman" w:hAnsi="Times New Roman" w:eastAsia="楷体" w:cs="Times New Roman"/>
                        <w:b/>
                        <w:color w:val="833C0B"/>
                        <w:sz w:val="21"/>
                        <w:lang w:bidi="ar"/>
                      </w:rPr>
                      <w:t>3</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val="en-US" w:eastAsia="zh-CN" w:bidi="ar"/>
      </w:rPr>
      <w:t>广州期货提醒各位投资者</w:t>
    </w:r>
    <w:r>
      <w:rPr>
        <w:rFonts w:hint="eastAsia" w:ascii="楷体" w:hAnsi="楷体" w:eastAsia="楷体" w:cs="Times New Roman"/>
        <w:b/>
        <w:color w:val="833C0B"/>
        <w:sz w:val="21"/>
        <w:lang w:bidi="ar"/>
      </w:rPr>
      <w:t>，期市有风险，入市需谨慎！请阅读文末免责声明。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4"/>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4"/>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2022年12月9日星期五</w:t>
    </w:r>
    <w:r>
      <w:rPr>
        <w:rFonts w:ascii="Times New Roman" w:hAnsi="Times New Roman" w:eastAsia="楷体"/>
        <w:b/>
        <w:bCs/>
        <w:color w:val="833C0B"/>
        <w:sz w:val="2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534E"/>
    <w:rsid w:val="000058D8"/>
    <w:rsid w:val="00006269"/>
    <w:rsid w:val="00012A9A"/>
    <w:rsid w:val="00020E82"/>
    <w:rsid w:val="0005286B"/>
    <w:rsid w:val="00076420"/>
    <w:rsid w:val="000820C6"/>
    <w:rsid w:val="000D36DC"/>
    <w:rsid w:val="000E0C15"/>
    <w:rsid w:val="001B1904"/>
    <w:rsid w:val="001B2D4C"/>
    <w:rsid w:val="001B6394"/>
    <w:rsid w:val="001C77D0"/>
    <w:rsid w:val="001F5438"/>
    <w:rsid w:val="002074A1"/>
    <w:rsid w:val="002A0670"/>
    <w:rsid w:val="002B2257"/>
    <w:rsid w:val="002F075C"/>
    <w:rsid w:val="002F6AD1"/>
    <w:rsid w:val="00323550"/>
    <w:rsid w:val="00332F22"/>
    <w:rsid w:val="003416C2"/>
    <w:rsid w:val="00341727"/>
    <w:rsid w:val="003471F4"/>
    <w:rsid w:val="00375F0B"/>
    <w:rsid w:val="00376AF1"/>
    <w:rsid w:val="003A3DB4"/>
    <w:rsid w:val="003C5F91"/>
    <w:rsid w:val="003D3A9E"/>
    <w:rsid w:val="004230AC"/>
    <w:rsid w:val="00440FBE"/>
    <w:rsid w:val="00461147"/>
    <w:rsid w:val="00485A3F"/>
    <w:rsid w:val="004977A9"/>
    <w:rsid w:val="004A65B5"/>
    <w:rsid w:val="004E58A5"/>
    <w:rsid w:val="00541F3F"/>
    <w:rsid w:val="005818A8"/>
    <w:rsid w:val="00591B89"/>
    <w:rsid w:val="00593B03"/>
    <w:rsid w:val="00593F40"/>
    <w:rsid w:val="005B5BDF"/>
    <w:rsid w:val="005C05F7"/>
    <w:rsid w:val="005C05FA"/>
    <w:rsid w:val="005E1CE0"/>
    <w:rsid w:val="005F45A8"/>
    <w:rsid w:val="00610C41"/>
    <w:rsid w:val="00657B01"/>
    <w:rsid w:val="006B4A5D"/>
    <w:rsid w:val="006D21ED"/>
    <w:rsid w:val="00710028"/>
    <w:rsid w:val="0072164F"/>
    <w:rsid w:val="007253E7"/>
    <w:rsid w:val="007315D8"/>
    <w:rsid w:val="00743CFD"/>
    <w:rsid w:val="007A66FE"/>
    <w:rsid w:val="007D29EC"/>
    <w:rsid w:val="007D4BBD"/>
    <w:rsid w:val="007F1327"/>
    <w:rsid w:val="007F140C"/>
    <w:rsid w:val="00806F4A"/>
    <w:rsid w:val="00815011"/>
    <w:rsid w:val="00815817"/>
    <w:rsid w:val="00822591"/>
    <w:rsid w:val="00867CA5"/>
    <w:rsid w:val="00873ECE"/>
    <w:rsid w:val="0087785E"/>
    <w:rsid w:val="008A1D22"/>
    <w:rsid w:val="008B361D"/>
    <w:rsid w:val="008E2B15"/>
    <w:rsid w:val="00906E0C"/>
    <w:rsid w:val="00907943"/>
    <w:rsid w:val="00916E97"/>
    <w:rsid w:val="009316EC"/>
    <w:rsid w:val="009644D9"/>
    <w:rsid w:val="009870E4"/>
    <w:rsid w:val="009A12FA"/>
    <w:rsid w:val="009B591A"/>
    <w:rsid w:val="009D5253"/>
    <w:rsid w:val="009D64FE"/>
    <w:rsid w:val="009E4452"/>
    <w:rsid w:val="009F5C7B"/>
    <w:rsid w:val="00A63022"/>
    <w:rsid w:val="00A96E37"/>
    <w:rsid w:val="00A97444"/>
    <w:rsid w:val="00AA29E5"/>
    <w:rsid w:val="00AB0678"/>
    <w:rsid w:val="00AC7ECD"/>
    <w:rsid w:val="00AD009F"/>
    <w:rsid w:val="00B15418"/>
    <w:rsid w:val="00B443CE"/>
    <w:rsid w:val="00B53C56"/>
    <w:rsid w:val="00B618F8"/>
    <w:rsid w:val="00B72E2D"/>
    <w:rsid w:val="00B805BD"/>
    <w:rsid w:val="00BC71D6"/>
    <w:rsid w:val="00BF3137"/>
    <w:rsid w:val="00C240C3"/>
    <w:rsid w:val="00C66C6C"/>
    <w:rsid w:val="00C82E4D"/>
    <w:rsid w:val="00CB1F18"/>
    <w:rsid w:val="00CB3015"/>
    <w:rsid w:val="00CC3E40"/>
    <w:rsid w:val="00CD5DE8"/>
    <w:rsid w:val="00CE7903"/>
    <w:rsid w:val="00CF6C71"/>
    <w:rsid w:val="00D00D60"/>
    <w:rsid w:val="00D01A19"/>
    <w:rsid w:val="00D309C4"/>
    <w:rsid w:val="00D75630"/>
    <w:rsid w:val="00D87130"/>
    <w:rsid w:val="00DF56EC"/>
    <w:rsid w:val="00E020F2"/>
    <w:rsid w:val="00E12059"/>
    <w:rsid w:val="00E25D21"/>
    <w:rsid w:val="00E55B22"/>
    <w:rsid w:val="00E64502"/>
    <w:rsid w:val="00E928BB"/>
    <w:rsid w:val="00EB56F2"/>
    <w:rsid w:val="00F234BF"/>
    <w:rsid w:val="00F31CCA"/>
    <w:rsid w:val="00F43E0E"/>
    <w:rsid w:val="00F622ED"/>
    <w:rsid w:val="00F65EEA"/>
    <w:rsid w:val="00FB3956"/>
    <w:rsid w:val="09F160E3"/>
    <w:rsid w:val="100732C8"/>
    <w:rsid w:val="10DA6205"/>
    <w:rsid w:val="129B2E20"/>
    <w:rsid w:val="12AA5DF8"/>
    <w:rsid w:val="15D52593"/>
    <w:rsid w:val="1B8A2034"/>
    <w:rsid w:val="1BC72FF7"/>
    <w:rsid w:val="1D5030CD"/>
    <w:rsid w:val="20AE4DE8"/>
    <w:rsid w:val="21996AC1"/>
    <w:rsid w:val="219F3EE2"/>
    <w:rsid w:val="26F95364"/>
    <w:rsid w:val="2DE440F7"/>
    <w:rsid w:val="340E7198"/>
    <w:rsid w:val="373F75CC"/>
    <w:rsid w:val="3B3306F0"/>
    <w:rsid w:val="3B563B4D"/>
    <w:rsid w:val="3C2825B0"/>
    <w:rsid w:val="3C2B26B7"/>
    <w:rsid w:val="3DA80A30"/>
    <w:rsid w:val="3EE0186C"/>
    <w:rsid w:val="441077D2"/>
    <w:rsid w:val="44396064"/>
    <w:rsid w:val="51266B84"/>
    <w:rsid w:val="548642E9"/>
    <w:rsid w:val="56DD4D3A"/>
    <w:rsid w:val="59C52328"/>
    <w:rsid w:val="5D5617A6"/>
    <w:rsid w:val="5EA7685B"/>
    <w:rsid w:val="62710E5F"/>
    <w:rsid w:val="64C32497"/>
    <w:rsid w:val="66D04BBC"/>
    <w:rsid w:val="713E0334"/>
    <w:rsid w:val="729B5F03"/>
    <w:rsid w:val="72F62A89"/>
    <w:rsid w:val="737357AF"/>
    <w:rsid w:val="778F5135"/>
    <w:rsid w:val="78E55995"/>
    <w:rsid w:val="7ABE4B56"/>
    <w:rsid w:val="7B3E5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2">
    <w:name w:val="heading 1"/>
    <w:basedOn w:val="1"/>
    <w:next w:val="1"/>
    <w:link w:val="16"/>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toc 1"/>
    <w:basedOn w:val="1"/>
    <w:next w:val="1"/>
    <w:qFormat/>
    <w:uiPriority w:val="39"/>
  </w:style>
  <w:style w:type="paragraph" w:styleId="6">
    <w:name w:val="toc 2"/>
    <w:basedOn w:val="1"/>
    <w:next w:val="1"/>
    <w:qFormat/>
    <w:uiPriority w:val="39"/>
    <w:pPr>
      <w:ind w:left="420" w:leftChars="200"/>
    </w:pPr>
  </w:style>
  <w:style w:type="table" w:styleId="8">
    <w:name w:val="Table Grid"/>
    <w:basedOn w:val="7"/>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954F72" w:themeColor="followedHyperlink"/>
      <w:u w:val="single"/>
      <w14:textFill>
        <w14:solidFill>
          <w14:schemeClr w14:val="folHlink"/>
        </w14:solidFill>
      </w14:textFill>
    </w:rPr>
  </w:style>
  <w:style w:type="character" w:styleId="11">
    <w:name w:val="Hyperlink"/>
    <w:basedOn w:val="9"/>
    <w:qFormat/>
    <w:uiPriority w:val="99"/>
    <w:rPr>
      <w:color w:val="0563C1" w:themeColor="hyperlink"/>
      <w:u w:val="single"/>
      <w14:textFill>
        <w14:solidFill>
          <w14:schemeClr w14:val="hlink"/>
        </w14:solidFill>
      </w14:textFill>
    </w:rPr>
  </w:style>
  <w:style w:type="paragraph" w:customStyle="1" w:styleId="12">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13">
    <w:name w:val="List Paragraph"/>
    <w:basedOn w:val="1"/>
    <w:qFormat/>
    <w:uiPriority w:val="99"/>
    <w:pPr>
      <w:ind w:firstLine="420" w:firstLineChars="200"/>
    </w:pPr>
  </w:style>
  <w:style w:type="paragraph" w:customStyle="1" w:styleId="14">
    <w:name w:val="WPSOffice手动目录 1"/>
    <w:qFormat/>
    <w:uiPriority w:val="0"/>
    <w:rPr>
      <w:rFonts w:ascii="Times New Roman" w:hAnsi="Times New Roman" w:eastAsia="宋体" w:cs="Times New Roman"/>
      <w:lang w:val="en-US" w:eastAsia="zh-CN" w:bidi="ar-SA"/>
    </w:rPr>
  </w:style>
  <w:style w:type="paragraph" w:customStyle="1" w:styleId="1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16">
    <w:name w:val="标题 1 字符"/>
    <w:basedOn w:val="9"/>
    <w:link w:val="2"/>
    <w:qFormat/>
    <w:uiPriority w:val="0"/>
    <w:rPr>
      <w:rFonts w:asciiTheme="minorHAnsi" w:hAnsiTheme="minorHAnsi" w:cstheme="minorBidi"/>
      <w:b/>
      <w:bCs/>
      <w:kern w:val="44"/>
      <w:sz w:val="44"/>
      <w:szCs w:val="44"/>
    </w:rPr>
  </w:style>
  <w:style w:type="paragraph" w:customStyle="1" w:styleId="1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7B271F-CE5D-421B-9A46-E52BFC81BD46}">
  <ds:schemaRefs/>
</ds:datastoreItem>
</file>

<file path=docProps/app.xml><?xml version="1.0" encoding="utf-8"?>
<Properties xmlns="http://schemas.openxmlformats.org/officeDocument/2006/extended-properties" xmlns:vt="http://schemas.openxmlformats.org/officeDocument/2006/docPropsVTypes">
  <Template>Normal</Template>
  <Pages>7</Pages>
  <Words>5659</Words>
  <Characters>6151</Characters>
  <Lines>50</Lines>
  <Paragraphs>14</Paragraphs>
  <TotalTime>0</TotalTime>
  <ScaleCrop>false</ScaleCrop>
  <LinksUpToDate>false</LinksUpToDate>
  <CharactersWithSpaces>6173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2022-07-01T02:28:00Z</cp:lastPrinted>
  <dcterms:modified xsi:type="dcterms:W3CDTF">2022-12-09T02:04:56Z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2AD6C5347C844179B2458C2E14054CF3</vt:lpwstr>
  </property>
</Properties>
</file>