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_Toc917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_Toc26765 </w:instrText>
          </w:r>
          <w:r>
            <w:rPr>
              <w:bCs/>
            </w:rPr>
            <w:fldChar w:fldCharType="separate"/>
          </w:r>
          <w:r>
            <w:rPr>
              <w:rFonts w:hint="eastAsia" w:ascii="Times New Roman" w:hAnsi="Times New Roman" w:eastAsia="楷体"/>
              <w:szCs w:val="24"/>
            </w:rPr>
            <w:t>股指：震荡</w:t>
          </w:r>
          <w:r>
            <w:rPr>
              <w:bCs/>
            </w:rPr>
            <w:fldChar w:fldCharType="end"/>
          </w:r>
        </w:p>
        <w:p>
          <w:pPr>
            <w:pStyle w:val="59"/>
            <w:tabs>
              <w:tab w:val="right" w:leader="dot" w:pos="8306"/>
            </w:tabs>
          </w:pPr>
          <w:r>
            <w:rPr>
              <w:bCs/>
            </w:rPr>
            <w:fldChar w:fldCharType="begin"/>
          </w:r>
          <w:r>
            <w:rPr>
              <w:bCs/>
            </w:rPr>
            <w:instrText xml:space="preserve"> HYPERLINK \l _Toc15133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_Toc27319 </w:instrText>
          </w:r>
          <w:r>
            <w:rPr>
              <w:bCs/>
            </w:rPr>
            <w:fldChar w:fldCharType="separate"/>
          </w:r>
          <w:r>
            <w:rPr>
              <w:rFonts w:hint="eastAsia" w:ascii="Times New Roman" w:hAnsi="Times New Roman" w:eastAsia="楷体"/>
              <w:szCs w:val="24"/>
            </w:rPr>
            <w:t>贵金属：人民币汇率调升，贵金属价格小幅上涨</w:t>
          </w:r>
          <w:r>
            <w:rPr>
              <w:bCs/>
            </w:rPr>
            <w:fldChar w:fldCharType="end"/>
          </w:r>
        </w:p>
        <w:p>
          <w:pPr>
            <w:pStyle w:val="59"/>
            <w:tabs>
              <w:tab w:val="right" w:leader="dot" w:pos="8306"/>
            </w:tabs>
          </w:pPr>
          <w:r>
            <w:rPr>
              <w:bCs/>
            </w:rPr>
            <w:fldChar w:fldCharType="begin"/>
          </w:r>
          <w:r>
            <w:rPr>
              <w:bCs/>
            </w:rPr>
            <w:instrText xml:space="preserve"> HYPERLINK \l _Toc8952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_Toc11828 </w:instrText>
          </w:r>
          <w:r>
            <w:rPr>
              <w:bCs/>
            </w:rPr>
            <w:fldChar w:fldCharType="separate"/>
          </w:r>
          <w:r>
            <w:rPr>
              <w:rFonts w:hint="eastAsia" w:ascii="楷体" w:hAnsi="楷体" w:eastAsia="楷体"/>
              <w:szCs w:val="24"/>
            </w:rPr>
            <w:t>碳酸锂：海外机构下调锂价预测，期价大幅下跌</w:t>
          </w:r>
          <w:r>
            <w:rPr>
              <w:bCs/>
            </w:rPr>
            <w:fldChar w:fldCharType="end"/>
          </w:r>
        </w:p>
        <w:p>
          <w:pPr>
            <w:pStyle w:val="74"/>
            <w:tabs>
              <w:tab w:val="right" w:leader="dot" w:pos="8306"/>
            </w:tabs>
          </w:pPr>
          <w:r>
            <w:rPr>
              <w:bCs/>
            </w:rPr>
            <w:fldChar w:fldCharType="begin"/>
          </w:r>
          <w:r>
            <w:rPr>
              <w:bCs/>
            </w:rPr>
            <w:instrText xml:space="preserve"> HYPERLINK \l _Toc5365 </w:instrText>
          </w:r>
          <w:r>
            <w:rPr>
              <w:bCs/>
            </w:rPr>
            <w:fldChar w:fldCharType="separate"/>
          </w:r>
          <w:r>
            <w:rPr>
              <w:rFonts w:hint="eastAsia" w:ascii="楷体" w:hAnsi="楷体" w:eastAsia="楷体"/>
              <w:szCs w:val="24"/>
            </w:rPr>
            <w:t>铜：短期价格高位僵持，上下幅度均有限</w:t>
          </w:r>
          <w:r>
            <w:rPr>
              <w:bCs/>
            </w:rPr>
            <w:fldChar w:fldCharType="end"/>
          </w:r>
        </w:p>
        <w:p>
          <w:pPr>
            <w:pStyle w:val="74"/>
            <w:tabs>
              <w:tab w:val="right" w:leader="dot" w:pos="8306"/>
            </w:tabs>
          </w:pPr>
          <w:r>
            <w:rPr>
              <w:bCs/>
            </w:rPr>
            <w:fldChar w:fldCharType="begin"/>
          </w:r>
          <w:r>
            <w:rPr>
              <w:bCs/>
            </w:rPr>
            <w:instrText xml:space="preserve"> HYPERLINK \l _Toc6659 </w:instrText>
          </w:r>
          <w:r>
            <w:rPr>
              <w:bCs/>
            </w:rPr>
            <w:fldChar w:fldCharType="separate"/>
          </w:r>
          <w:r>
            <w:rPr>
              <w:rFonts w:hint="eastAsia" w:ascii="楷体" w:hAnsi="楷体" w:eastAsia="楷体"/>
              <w:szCs w:val="24"/>
            </w:rPr>
            <w:t>铝：铝价趋势偏强</w:t>
          </w:r>
          <w:r>
            <w:rPr>
              <w:bCs/>
            </w:rPr>
            <w:fldChar w:fldCharType="end"/>
          </w:r>
        </w:p>
        <w:p>
          <w:pPr>
            <w:pStyle w:val="74"/>
            <w:tabs>
              <w:tab w:val="right" w:leader="dot" w:pos="8306"/>
            </w:tabs>
          </w:pPr>
          <w:r>
            <w:rPr>
              <w:bCs/>
            </w:rPr>
            <w:fldChar w:fldCharType="begin"/>
          </w:r>
          <w:r>
            <w:rPr>
              <w:bCs/>
            </w:rPr>
            <w:instrText xml:space="preserve"> HYPERLINK \l _Toc9943 </w:instrText>
          </w:r>
          <w:r>
            <w:rPr>
              <w:bCs/>
            </w:rPr>
            <w:fldChar w:fldCharType="separate"/>
          </w:r>
          <w:r>
            <w:rPr>
              <w:rFonts w:hint="eastAsia" w:ascii="楷体" w:hAnsi="楷体" w:eastAsia="楷体"/>
              <w:szCs w:val="24"/>
            </w:rPr>
            <w:t>锌：锌价等待价格站稳</w:t>
          </w:r>
          <w:r>
            <w:rPr>
              <w:bCs/>
            </w:rPr>
            <w:fldChar w:fldCharType="end"/>
          </w:r>
        </w:p>
        <w:p>
          <w:pPr>
            <w:pStyle w:val="74"/>
            <w:tabs>
              <w:tab w:val="right" w:leader="dot" w:pos="8306"/>
            </w:tabs>
          </w:pPr>
          <w:r>
            <w:rPr>
              <w:bCs/>
            </w:rPr>
            <w:fldChar w:fldCharType="begin"/>
          </w:r>
          <w:r>
            <w:rPr>
              <w:bCs/>
            </w:rPr>
            <w:instrText xml:space="preserve"> HYPERLINK \l _Toc5269 </w:instrText>
          </w:r>
          <w:r>
            <w:rPr>
              <w:bCs/>
            </w:rPr>
            <w:fldChar w:fldCharType="separate"/>
          </w:r>
          <w:r>
            <w:rPr>
              <w:rFonts w:hint="eastAsia" w:ascii="楷体" w:hAnsi="楷体" w:eastAsia="楷体"/>
              <w:szCs w:val="24"/>
            </w:rPr>
            <w:t>镍：预计短期镍价偏弱震荡</w:t>
          </w:r>
          <w:r>
            <w:rPr>
              <w:bCs/>
            </w:rPr>
            <w:fldChar w:fldCharType="end"/>
          </w:r>
        </w:p>
        <w:p>
          <w:pPr>
            <w:pStyle w:val="74"/>
            <w:tabs>
              <w:tab w:val="right" w:leader="dot" w:pos="8306"/>
            </w:tabs>
          </w:pPr>
          <w:r>
            <w:rPr>
              <w:bCs/>
            </w:rPr>
            <w:fldChar w:fldCharType="begin"/>
          </w:r>
          <w:r>
            <w:rPr>
              <w:bCs/>
            </w:rPr>
            <w:instrText xml:space="preserve"> HYPERLINK \l _Toc5657 </w:instrText>
          </w:r>
          <w:r>
            <w:rPr>
              <w:bCs/>
            </w:rPr>
            <w:fldChar w:fldCharType="separate"/>
          </w:r>
          <w:r>
            <w:rPr>
              <w:rFonts w:hint="eastAsia" w:ascii="楷体" w:hAnsi="楷体" w:eastAsia="楷体"/>
              <w:szCs w:val="24"/>
            </w:rPr>
            <w:t>不锈钢：需求不佳叠加矿端扰动降温，震荡偏弱看待</w:t>
          </w:r>
          <w:r>
            <w:rPr>
              <w:bCs/>
            </w:rPr>
            <w:fldChar w:fldCharType="end"/>
          </w:r>
        </w:p>
        <w:p>
          <w:pPr>
            <w:pStyle w:val="74"/>
            <w:tabs>
              <w:tab w:val="right" w:leader="dot" w:pos="8306"/>
            </w:tabs>
          </w:pPr>
          <w:r>
            <w:rPr>
              <w:bCs/>
            </w:rPr>
            <w:fldChar w:fldCharType="begin"/>
          </w:r>
          <w:r>
            <w:rPr>
              <w:bCs/>
            </w:rPr>
            <w:instrText xml:space="preserve"> HYPERLINK \l _Toc23298 </w:instrText>
          </w:r>
          <w:r>
            <w:rPr>
              <w:bCs/>
            </w:rPr>
            <w:fldChar w:fldCharType="separate"/>
          </w:r>
          <w:r>
            <w:rPr>
              <w:rFonts w:hint="eastAsia" w:ascii="楷体" w:hAnsi="楷体" w:eastAsia="楷体"/>
              <w:szCs w:val="24"/>
            </w:rPr>
            <w:t>工业硅：市场情绪依旧偏弱，盘面或仍将承压运行</w:t>
          </w:r>
          <w:r>
            <w:rPr>
              <w:bCs/>
            </w:rPr>
            <w:fldChar w:fldCharType="end"/>
          </w:r>
        </w:p>
        <w:p>
          <w:pPr>
            <w:pStyle w:val="59"/>
            <w:tabs>
              <w:tab w:val="right" w:leader="dot" w:pos="8306"/>
            </w:tabs>
          </w:pPr>
          <w:r>
            <w:rPr>
              <w:bCs/>
            </w:rPr>
            <w:fldChar w:fldCharType="begin"/>
          </w:r>
          <w:r>
            <w:rPr>
              <w:bCs/>
            </w:rPr>
            <w:instrText xml:space="preserve"> HYPERLINK \l _Toc29402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_Toc28360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短线涨幅过大叠加东南亚原料价格下调，橡胶短期或回调整理</w:t>
          </w:r>
          <w:r>
            <w:rPr>
              <w:bCs/>
            </w:rPr>
            <w:fldChar w:fldCharType="end"/>
          </w:r>
        </w:p>
        <w:p>
          <w:pPr>
            <w:pStyle w:val="74"/>
            <w:tabs>
              <w:tab w:val="right" w:leader="dot" w:pos="8306"/>
            </w:tabs>
          </w:pPr>
          <w:r>
            <w:rPr>
              <w:bCs/>
            </w:rPr>
            <w:fldChar w:fldCharType="begin"/>
          </w:r>
          <w:r>
            <w:rPr>
              <w:bCs/>
            </w:rPr>
            <w:instrText xml:space="preserve"> HYPERLINK \l _Toc2834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_Toc13991 </w:instrText>
          </w:r>
          <w:r>
            <w:rPr>
              <w:bCs/>
            </w:rPr>
            <w:fldChar w:fldCharType="separate"/>
          </w:r>
          <w:r>
            <w:rPr>
              <w:rFonts w:hint="eastAsia" w:ascii="楷体" w:hAnsi="楷体" w:eastAsia="楷体"/>
              <w:szCs w:val="24"/>
            </w:rPr>
            <w:t>玻璃：供强需弱，累库行情</w:t>
          </w:r>
          <w:r>
            <w:rPr>
              <w:bCs/>
            </w:rPr>
            <w:fldChar w:fldCharType="end"/>
          </w:r>
        </w:p>
        <w:p>
          <w:pPr>
            <w:pStyle w:val="74"/>
            <w:tabs>
              <w:tab w:val="right" w:leader="dot" w:pos="8306"/>
            </w:tabs>
          </w:pPr>
          <w:r>
            <w:rPr>
              <w:bCs/>
            </w:rPr>
            <w:fldChar w:fldCharType="begin"/>
          </w:r>
          <w:r>
            <w:rPr>
              <w:bCs/>
            </w:rPr>
            <w:instrText xml:space="preserve"> HYPERLINK \l _Toc24702 </w:instrText>
          </w:r>
          <w:r>
            <w:rPr>
              <w:bCs/>
            </w:rPr>
            <w:fldChar w:fldCharType="separate"/>
          </w:r>
          <w:r>
            <w:rPr>
              <w:rFonts w:hint="eastAsia" w:ascii="楷体" w:hAnsi="楷体" w:eastAsia="楷体"/>
              <w:szCs w:val="24"/>
            </w:rPr>
            <w:t>纯碱：累库预期再起，进口碱冲击国内价格</w:t>
          </w:r>
          <w:r>
            <w:rPr>
              <w:bCs/>
            </w:rPr>
            <w:fldChar w:fldCharType="end"/>
          </w:r>
        </w:p>
        <w:p>
          <w:pPr>
            <w:pStyle w:val="74"/>
            <w:tabs>
              <w:tab w:val="right" w:leader="dot" w:pos="8306"/>
            </w:tabs>
          </w:pPr>
          <w:r>
            <w:rPr>
              <w:bCs/>
            </w:rPr>
            <w:fldChar w:fldCharType="begin"/>
          </w:r>
          <w:r>
            <w:rPr>
              <w:bCs/>
            </w:rPr>
            <w:instrText xml:space="preserve"> HYPERLINK \l _Toc4963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_Toc1769 </w:instrText>
          </w:r>
          <w:r>
            <w:rPr>
              <w:bCs/>
            </w:rPr>
            <w:fldChar w:fldCharType="separate"/>
          </w:r>
          <w:r>
            <w:rPr>
              <w:rFonts w:hint="eastAsia" w:ascii="Times New Roman" w:hAnsi="Times New Roman" w:eastAsia="楷体"/>
              <w:szCs w:val="24"/>
            </w:rPr>
            <w:t>乙二醇：到港增多及存量装置开工提升  短期价格震荡偏弱</w:t>
          </w:r>
          <w:r>
            <w:rPr>
              <w:bCs/>
            </w:rPr>
            <w:fldChar w:fldCharType="end"/>
          </w:r>
        </w:p>
        <w:p>
          <w:pPr>
            <w:pStyle w:val="59"/>
            <w:tabs>
              <w:tab w:val="right" w:leader="dot" w:pos="8306"/>
            </w:tabs>
          </w:pPr>
          <w:r>
            <w:rPr>
              <w:bCs/>
            </w:rPr>
            <w:fldChar w:fldCharType="begin"/>
          </w:r>
          <w:r>
            <w:rPr>
              <w:bCs/>
            </w:rPr>
            <w:instrText xml:space="preserve"> HYPERLINK \l _Toc28516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_Toc30138 </w:instrText>
          </w:r>
          <w:r>
            <w:rPr>
              <w:bCs/>
            </w:rPr>
            <w:fldChar w:fldCharType="separate"/>
          </w:r>
          <w:r>
            <w:rPr>
              <w:rFonts w:hint="eastAsia" w:ascii="楷体" w:hAnsi="楷体" w:eastAsia="楷体"/>
              <w:bCs/>
            </w:rPr>
            <w:t>玉米与淀粉：</w:t>
          </w:r>
          <w:r>
            <w:rPr>
              <w:rFonts w:hint="eastAsia" w:ascii="楷体" w:hAnsi="楷体" w:eastAsia="楷体"/>
            </w:rPr>
            <w:t>期价弱势未改</w:t>
          </w:r>
          <w:r>
            <w:rPr>
              <w:bCs/>
            </w:rPr>
            <w:fldChar w:fldCharType="end"/>
          </w:r>
        </w:p>
        <w:p>
          <w:pPr>
            <w:pStyle w:val="74"/>
            <w:tabs>
              <w:tab w:val="right" w:leader="dot" w:pos="8306"/>
            </w:tabs>
          </w:pPr>
          <w:r>
            <w:rPr>
              <w:bCs/>
            </w:rPr>
            <w:fldChar w:fldCharType="begin"/>
          </w:r>
          <w:r>
            <w:rPr>
              <w:bCs/>
            </w:rPr>
            <w:instrText xml:space="preserve"> HYPERLINK \l _Toc18579 </w:instrText>
          </w:r>
          <w:r>
            <w:rPr>
              <w:bCs/>
            </w:rPr>
            <w:fldChar w:fldCharType="separate"/>
          </w:r>
          <w:r>
            <w:rPr>
              <w:rFonts w:hint="eastAsia" w:ascii="楷体" w:hAnsi="楷体" w:eastAsia="楷体"/>
              <w:bCs/>
            </w:rPr>
            <w:t>畜禽养殖：鸡蛋期价大幅下跌</w:t>
          </w:r>
          <w:r>
            <w:rPr>
              <w:bCs/>
            </w:rPr>
            <w:fldChar w:fldCharType="end"/>
          </w:r>
        </w:p>
        <w:p>
          <w:pPr>
            <w:pStyle w:val="74"/>
            <w:tabs>
              <w:tab w:val="right" w:leader="dot" w:pos="8306"/>
            </w:tabs>
          </w:pPr>
          <w:r>
            <w:rPr>
              <w:bCs/>
            </w:rPr>
            <w:fldChar w:fldCharType="begin"/>
          </w:r>
          <w:r>
            <w:rPr>
              <w:bCs/>
            </w:rPr>
            <w:instrText xml:space="preserve"> HYPERLINK \l _Toc28397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_Toc28131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_Toc28387 </w:instrText>
          </w:r>
          <w:r>
            <w:rPr>
              <w:bCs/>
            </w:rPr>
            <w:fldChar w:fldCharType="separate"/>
          </w:r>
          <w:r>
            <w:rPr>
              <w:rFonts w:hint="eastAsia" w:ascii="Times New Roman" w:hAnsi="Times New Roman" w:eastAsia="楷体"/>
              <w:szCs w:val="24"/>
            </w:rPr>
            <w:t>集运指数（欧线）：SCFIS结算价下跌超11%，临近4月基差大幅修复</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917"/>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26765"/>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震荡</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主题行情赚钱效应扩散后注意回避四月验证期，沪指跌破20日均线，显示上方平台压力仍较大。大盘阶段内还将反复，整体处于震荡的格局。注意四月市场风格或将有所转变，即从中小盘再度转向大盘、红利等方向。</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5133"/>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7319"/>
      <w:r>
        <w:rPr>
          <w:rFonts w:hint="eastAsia" w:ascii="Times New Roman" w:hAnsi="Times New Roman" w:eastAsia="楷体"/>
          <w:b/>
          <w:color w:val="000000" w:themeColor="text1"/>
          <w:sz w:val="24"/>
          <w:szCs w:val="24"/>
          <w14:textFill>
            <w14:solidFill>
              <w14:schemeClr w14:val="tx1"/>
            </w14:solidFill>
          </w14:textFill>
        </w:rPr>
        <w:t>贵金属：人民币汇率调升，贵金属价格小幅上涨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0.13%至514.72元/克，沪银涨0.19%至6384元/千克。美联储理事库克讲话称，谨慎地逐步放松政策可以确保通胀可持续回归2%，同时努力维持就业市场强劲；通胀已大幅下降，劳动力市场仍然强劲；强劲的生产率增长可能意味着工资增长加快，而不是通胀。在岸人民币对美元16:30收盘报7.2084，较上一交易日上涨199个基点，夜盘收报7.2120。人民币对美元中间价报7.0996，调升8个基点。周内关注美联储官员公开讲话，以及周五即将公布的PCE通胀数据，美联储降息预期升温，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8952"/>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1828"/>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碳酸锂：海外机构下调锂价预测，期价大幅下跌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小幅低开后偏弱震荡，午后大幅下跌，07合约收跌6.78%至107400元/吨，或受消息面因素影响。据外媒报道，花旗将未来6-12个月的碳酸锂价格预测下调17%至15000美元/吨，其表示较低的锂价将推迟未开发地区扩张，以及可能使得部分亏损产能停产。另外，上周进出口数据显示国内锂精矿1-2月进口量整体超预期，短期供应存在增量预期。江西部分生产企业仍受环保影响，开工率维持偏低。关注Albemarle雅保3月26日10000吨锂辉石精矿拍卖成交情况，消息面因素扰动下期价波动或加剧。</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5365"/>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短期价格高位僵持，上下幅度均有限</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(1)库存：3月25日，SHFE仓单库存209416吨，增1951吨；LME仓单库存117900吨，增4050吨。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(2)精废价差：3月25日，Mysteel精废价差2018，扩张150。目前价差在合理价差1422之上。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综述：海外宏观方面对于降息预期仍保持相对乐观，但美国经济保持强劲态势，通胀或有持续反弹可能，降息仍有不确定性，美元指数短期亦难有趋势性 行情，近日反弹对铜价形成一定压制。基本面，国内需求偏弱库存大幅累增限制价格持续向上弹性，但铜精矿加工费继续走低致冶炼厂亏损幅度扩大，或影响后续精炼产出，对铜价形成支撑，短期价格高位僵持，上下幅度均有限，主波动区间参考71500-73000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6659"/>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铝价趋势偏强</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宏观情绪持续博弈美联储降息节奏，基本面上看，铝土矿产量减少，氧化铝价格坚挺，成本端提供较强支撑。供应端整体保持稳定，前有部分地 区因停电及技改小幅减产，近期云南地区有消息传出计划复产52万吨，但因近期雨水补充有限旱情明显，预计复产计划打折或拖延。下游需 求消费在节后缓慢修复，进入金三银四仍有旺季消费带动效应，库存上看，铝棒库存去库，铸锭社库小幅累积，整体库存水平较往年同期仍 处低位。成本支撑价格站稳前高，短期价格在19300附近扰动，待库存出现去库信号或高看至19700附近。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9943"/>
      <w:r>
        <w:rPr>
          <w:rFonts w:hint="eastAsia" w:ascii="楷体" w:hAnsi="楷体" w:eastAsia="楷体"/>
          <w:b/>
          <w:color w:val="000000" w:themeColor="text1"/>
          <w:sz w:val="24"/>
          <w:szCs w:val="24"/>
          <w14:textFill>
            <w14:solidFill>
              <w14:schemeClr w14:val="tx1"/>
            </w14:solidFill>
          </w14:textFill>
        </w:rPr>
        <w:t>锌：锌价等待价格站稳</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扰动多变，海外博弈联储降息，国内持续释放政策利好信号。海外矿山减产增多，精炼锌受上游矿端压制影响预期供给收缩，精矿加工费负反馈，冶炼厂生产维持亏损，海外锌企有减停产消息，镀锌开工环比上行，国内需求有所回升，库存累库但绝对库存水平仍偏低，锌价前期上涨幅度较大出现回调，等待回调后做多机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5269"/>
      <w:r>
        <w:rPr>
          <w:rFonts w:hint="eastAsia" w:ascii="楷体" w:hAnsi="楷体" w:eastAsia="楷体"/>
          <w:b/>
          <w:color w:val="000000" w:themeColor="text1"/>
          <w:sz w:val="24"/>
          <w:szCs w:val="24"/>
          <w14:textFill>
            <w14:solidFill>
              <w14:schemeClr w14:val="tx1"/>
            </w14:solidFill>
          </w14:textFill>
        </w:rPr>
        <w:t>镍：预计短期镍价偏弱震荡</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印尼镍矿审批进度加快，加上普拉博沃已正式当选印尼新总统，政府工作效率将会有所提升，印尼镍矿供应担忧逻辑对盘面的影响逐渐消退。成本方面，目前MHP供应仍维持偏紧状态，价格折扣系数处于79-82高位水平；从硫酸镍来看，MHP价格坚挺带来成本压力，且三元材料对硫酸镍补库需求仍存，短期硫酸镍价格预计稳中偏强。供需方面，受政策提振，近期新能源汽车市场需求复苏，但需求释放或主要体现在应用磷酸铁锂电池的中低端车型，对镍的需求改善程度仍需观察。中长期来看，镍市仍处于供应显著过剩格局。综合而言，虽短期成本支撑犹存，但印尼大选结果尘埃落定，印尼镍矿RKAB审批将继续加快，印尼镍矿供应不确定性为镍带来的溢价将逐渐消退，加上供应过剩格局持续性施加压力，预计短期镍价偏弱震荡运行。</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5657"/>
      <w:r>
        <w:rPr>
          <w:rFonts w:hint="eastAsia" w:ascii="楷体" w:hAnsi="楷体" w:eastAsia="楷体"/>
          <w:b/>
          <w:color w:val="000000" w:themeColor="text1"/>
          <w:sz w:val="24"/>
          <w:szCs w:val="24"/>
          <w14:textFill>
            <w14:solidFill>
              <w14:schemeClr w14:val="tx1"/>
            </w14:solidFill>
          </w14:textFill>
        </w:rPr>
        <w:t>不锈钢：需求不佳叠加矿端扰动降温，震荡偏弱看待</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镍矿端，3月19日印尼矿业部官员表示政府已批准107家矿商的镍生产配额为1.5262亿吨，表明印尼镍矿审批进度加快，印尼镍矿供应担忧逻辑对盘面的影响逐渐消退。镍铁端，据市场消息，近日华南某钢厂最新成交在940元/镍(到厂含税)成交数千吨，由于镍矿资源偏紧问题将逐步缓解，加上成交偏弱，镍铁价格存在继续下跌空间。铬铁端，在青山4月高碳铬铁采购价大涨消息公布后，高碳铬铁价格偏强运行，对不锈钢价带来成本支撑。供应方面，目前不锈钢厂排产较高，据Mysteel调研，3月300系不锈钢排产或高达168万吨，环比增加26.8%。需求方面，下游消费不振，市场成交多以刚需采购为主，对不锈钢价格带来明显制约。综合而言，印尼镍矿RKAB审批进度明显加快，加上需求不佳带来压制、镍铁价格偏弱运行，短期不锈钢价格或偏弱震荡。</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3298"/>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市场情绪依旧偏弱，盘面或仍将承压运行</w:t>
      </w:r>
      <w:bookmarkEnd w:id="27"/>
    </w:p>
    <w:p>
      <w:pPr>
        <w:ind w:left="630" w:leftChars="300"/>
        <w:rPr>
          <w:rFonts w:ascii="楷体" w:hAnsi="楷体" w:eastAsia="楷体"/>
          <w:sz w:val="24"/>
          <w:szCs w:val="24"/>
        </w:rPr>
      </w:pPr>
      <w:r>
        <w:rPr>
          <w:rFonts w:hint="eastAsia" w:ascii="楷体" w:hAnsi="楷体" w:eastAsia="楷体"/>
          <w:sz w:val="24"/>
          <w:szCs w:val="24"/>
        </w:rPr>
        <w:t>3月25日，Si2405主力合约延续下行走势，收盘价12385元/吨，较上一收盘价涨跌幅-0.96%。由于节后下游需求回暖不及预期，以及对后续需求改善预期有所转弱，市场已开始提前交易后续丰水期西南复产以及成本下降逻辑，在行业库存偏高且暂未得到有效缓解背景下，预计盘面或仍将承压运行。策略上，建议以逢高做空为主。</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9402"/>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8360"/>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短线涨幅过大叠加东南亚原料价格下调，橡胶短期或回调整理</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今日天然橡胶盘中跌幅超5%，一度下挫至14305元/吨。目前看，全球天胶产区进入供应淡季，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受东南亚现货报价近日走低以及短线涨幅较大技术面上有修正需求等因素影响，沪胶近期大幅下挫。在未出现新的强利多因素提振下，天胶短期或延续回调整理。</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834"/>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偏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3991"/>
      <w:r>
        <w:rPr>
          <w:rFonts w:hint="eastAsia" w:ascii="楷体" w:hAnsi="楷体" w:eastAsia="楷体"/>
          <w:b/>
          <w:color w:val="000000" w:themeColor="text1"/>
          <w:sz w:val="24"/>
          <w:szCs w:val="24"/>
          <w14:textFill>
            <w14:solidFill>
              <w14:schemeClr w14:val="tx1"/>
            </w14:solidFill>
          </w14:textFill>
        </w:rPr>
        <w:t>玻璃：供强需弱，累库行情</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25日报道：今日浮法玻璃现货价格1807元/吨，较上一交易日-30元/吨。供给上，截至2024年3月21日，全国浮法玻璃日产量为17.65万吨，比14日+0.63%。库存上，截止到20240321，全国浮法玻璃样本企业总库存6361.4万重箱，环比+83.1万重箱，环比+1.32%，周末产销再度走弱，需求疲软。1-3月玻璃产线整体仍处于复产状态，但进入2024年后保交楼竣工持续走低，工程订单走差，家装订单走强，供给增量明显大于需求增量，盘面上供给压力逐渐显现，需求端消化速度不及供给增速，现货下行，厂家降价，基差收敛，短期情绪依旧处于期现负反馈的格局中，期价已经打到天然气企业成本线附近。后市若现货继续降价，期现价格持续承压，市场拐点可能要看到供给端出现冷修，在此之前维持偏空判断。</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4702"/>
      <w:r>
        <w:rPr>
          <w:rFonts w:hint="eastAsia" w:ascii="楷体" w:hAnsi="楷体" w:eastAsia="楷体"/>
          <w:b/>
          <w:color w:val="000000" w:themeColor="text1"/>
          <w:sz w:val="24"/>
          <w:szCs w:val="24"/>
          <w14:textFill>
            <w14:solidFill>
              <w14:schemeClr w14:val="tx1"/>
            </w14:solidFill>
          </w14:textFill>
        </w:rPr>
        <w:t>纯碱：累库预期再起，进口碱冲击国内价格</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今日纯碱现货端稳价，华中、华北重碱价格在1900-1950元/吨附近；轻碱下游补库告一段落。从供给端来看，隆众资讯3月21日报道：纯碱周产量73.24万吨，跌幅0.10%，变化不大，下周预计青海地区碱厂继续提负荷，产量回升。从库存上看，截止到2024年3月25日，本周国内纯碱厂家总库存82.39万吨，环比上周四涨3.60万吨，涨幅4.57%。需求上，周内纯碱待发订单下降到11天左右，排单到月底，新订单接收不温不火，社会库存窄幅增加。盘面近月合约走交割逻辑，短期在稳价影响下偏强，氨碱法成本附近震荡；远月09合约移仓为主力，累库预期下，期价继续下移，后市库存压力凸显。</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4963"/>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成本端原油及PX方面，短期地缘因素对原油盘面的支撑力度增强及俄罗斯宣布原油二季度减产，短线油价调整结束，盘面再度走强。本周PTA装置负荷下调，英力士110万吨恢复，福海创450万吨PTA装置停车检修，至3.21 PTA装置负荷降至78.1%（-2.8%）。后续仍有恒力惠州、逸盛新材料等装置检修。新增产能投产方面，台化150万吨PTA新装置将于3月底投产。聚酯检修装置仍在开启恢复过程中，同时也有个别装置检修。本周聚酯检修装置继续恢复，截至3.21，初步核算国内大陆地区聚酯负荷在90.7%附近。终端来看，江浙终端开工高位维持。综合来看，近期PTA部分装置开启检修，供需格局改善，4月有望去库。 PTA短期走势驱动核心在成本端，4月PX开启检修且PX加工费低位，留意调油需求对PX价格提振。随着原油再度走强，PTA期价震荡偏强。仅供参考。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1769"/>
      <w:r>
        <w:rPr>
          <w:rFonts w:hint="eastAsia" w:ascii="Times New Roman" w:hAnsi="Times New Roman" w:eastAsia="楷体"/>
          <w:b/>
          <w:color w:val="000000" w:themeColor="text1"/>
          <w:sz w:val="24"/>
          <w:szCs w:val="24"/>
          <w14:textFill>
            <w14:solidFill>
              <w14:schemeClr w14:val="tx1"/>
            </w14:solidFill>
          </w14:textFill>
        </w:rPr>
        <w:t>乙二醇：到港增多及存量装置开工提升  短期价格震荡偏弱</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3.25华东主港地区MEG港口库存约91.1万吨附近，环比上期累库5万吨。至3月21日，中国大陆地区乙二醇整体开工负荷在63.98%（-3.43%），镇海炼化、中科炼化停车检修。其中草酸催化加氢法（合成气）制乙二醇开工负荷在56.09%（-0.3%），煤化工装置开工率小幅下滑。 截至3月21日，国内大陆地区聚酯负荷在90.7%（+0.6%），聚酯开工维持。但聚酯工厂采购积极性不高，发货量持续下滑，港口去库困难。终端来看，江浙终端开工继续冲高，截止3.21江浙下游加弹、织造、印染负荷分别在94%（+1%）、83%（+1%）、87%(+0%)。综合来看，市场已经提前交易3-4月前期装置检修利好，近期乙二醇进口到小幅增加及部分煤化工装置检修推迟，3月供需格局偏宽松，短期价格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28516"/>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30138"/>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期价弱势未改</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这种情况类似于2019年，那么中期逻辑的关键在于国内玉米是否存在产需缺口，短期则需要重点留意国家政策和现货供需博弈的发展。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一个月来带动淀粉-玉米价差持续收窄的主要原因有二，其一是行业供需，即行业开机率带动库存持续累积，其二是副产品，受蛋白粕带动副产品价格触底反弹。但后期副产品、原料成本和行业供需三大方面均存在较大的不确定性，而淀粉现货价差与盘面生产利润短期或带来一定支撑。综上所述，我们倾向于认为淀粉-玉米价差或趋于区间震荡，方向尚不明朗。综上所述，单边维持谨慎看多观点，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18579"/>
      <w:r>
        <w:rPr>
          <w:rFonts w:hint="eastAsia" w:ascii="楷体" w:hAnsi="楷体" w:eastAsia="楷体"/>
          <w:b/>
          <w:bCs/>
          <w:color w:val="000000" w:themeColor="text1"/>
          <w14:textFill>
            <w14:solidFill>
              <w14:schemeClr w14:val="tx1"/>
            </w14:solidFill>
          </w14:textFill>
        </w:rPr>
        <w:t>畜禽养殖：鸡蛋期价大幅下跌</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28397"/>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28131"/>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28387"/>
      <w:r>
        <w:rPr>
          <w:rFonts w:hint="eastAsia" w:ascii="Times New Roman" w:hAnsi="Times New Roman" w:eastAsia="楷体"/>
          <w:b/>
          <w:color w:val="000000" w:themeColor="text1"/>
          <w:sz w:val="24"/>
          <w:szCs w:val="24"/>
          <w14:textFill>
            <w14:solidFill>
              <w14:schemeClr w14:val="tx1"/>
            </w14:solidFill>
          </w14:textFill>
        </w:rPr>
        <w:t>集运指数（欧线）：SCFIS结算价下跌超11%，临近4月基差大幅修复</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现货方面，周一盘后SCFIS欧线显示为2153.34点回落11.6%带动基差大幅收敛；跌幅放大7个百分点，环比上期回落超280点，下跌速度超预期。</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上周期价大涨已部分反映即期运价表现，实际结算价不如预期将对期货打压，同时有多家船司宣布4月初提价，多空交织下，预计盘问将继续保持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19667"/>
      <w:bookmarkStart w:id="43" w:name="_Toc12779"/>
      <w:bookmarkStart w:id="44" w:name="_Toc71212556"/>
      <w:bookmarkStart w:id="45" w:name="_Toc72481108"/>
      <w:bookmarkStart w:id="46" w:name="_Toc98426751"/>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2024年3月26日星期二</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2024-03-26T02:30:34Z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