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_Toc27948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_Toc26449 </w:instrText>
          </w:r>
          <w:r>
            <w:rPr>
              <w:bCs/>
            </w:rPr>
            <w:fldChar w:fldCharType="separate"/>
          </w:r>
          <w:r>
            <w:rPr>
              <w:rFonts w:hint="eastAsia" w:ascii="Times New Roman" w:hAnsi="Times New Roman" w:eastAsia="楷体"/>
              <w:szCs w:val="24"/>
            </w:rPr>
            <w:t>股指：震荡盘整为主</w:t>
          </w:r>
          <w:r>
            <w:rPr>
              <w:bCs/>
            </w:rPr>
            <w:fldChar w:fldCharType="end"/>
          </w:r>
        </w:p>
        <w:p>
          <w:pPr>
            <w:pStyle w:val="59"/>
            <w:tabs>
              <w:tab w:val="right" w:leader="dot" w:pos="8306"/>
            </w:tabs>
          </w:pPr>
          <w:r>
            <w:rPr>
              <w:bCs/>
            </w:rPr>
            <w:fldChar w:fldCharType="begin"/>
          </w:r>
          <w:r>
            <w:rPr>
              <w:bCs/>
            </w:rPr>
            <w:instrText xml:space="preserve"> HYPERLINK \l _Toc5963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_Toc27537 </w:instrText>
          </w:r>
          <w:r>
            <w:rPr>
              <w:bCs/>
            </w:rPr>
            <w:fldChar w:fldCharType="separate"/>
          </w:r>
          <w:r>
            <w:rPr>
              <w:rFonts w:hint="eastAsia" w:ascii="Times New Roman" w:hAnsi="Times New Roman" w:eastAsia="楷体"/>
              <w:szCs w:val="24"/>
            </w:rPr>
            <w:t>贵金属：静待联储3月议息决议，贵金属价格偏强运行</w:t>
          </w:r>
          <w:r>
            <w:rPr>
              <w:bCs/>
            </w:rPr>
            <w:fldChar w:fldCharType="end"/>
          </w:r>
        </w:p>
        <w:p>
          <w:pPr>
            <w:pStyle w:val="59"/>
            <w:tabs>
              <w:tab w:val="right" w:leader="dot" w:pos="8306"/>
            </w:tabs>
          </w:pPr>
          <w:r>
            <w:rPr>
              <w:bCs/>
            </w:rPr>
            <w:fldChar w:fldCharType="begin"/>
          </w:r>
          <w:r>
            <w:rPr>
              <w:bCs/>
            </w:rPr>
            <w:instrText xml:space="preserve"> HYPERLINK \l _Toc17361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_Toc30409 </w:instrText>
          </w:r>
          <w:r>
            <w:rPr>
              <w:bCs/>
            </w:rPr>
            <w:fldChar w:fldCharType="separate"/>
          </w:r>
          <w:r>
            <w:rPr>
              <w:rFonts w:hint="eastAsia" w:ascii="楷体" w:hAnsi="楷体" w:eastAsia="楷体"/>
              <w:szCs w:val="24"/>
            </w:rPr>
            <w:t>碳酸锂：海外矿石拍卖等消息面因素扰动，期价上周冲高回落</w:t>
          </w:r>
          <w:r>
            <w:rPr>
              <w:bCs/>
            </w:rPr>
            <w:fldChar w:fldCharType="end"/>
          </w:r>
        </w:p>
        <w:p>
          <w:pPr>
            <w:pStyle w:val="74"/>
            <w:tabs>
              <w:tab w:val="right" w:leader="dot" w:pos="8306"/>
            </w:tabs>
          </w:pPr>
          <w:r>
            <w:rPr>
              <w:bCs/>
            </w:rPr>
            <w:fldChar w:fldCharType="begin"/>
          </w:r>
          <w:r>
            <w:rPr>
              <w:bCs/>
            </w:rPr>
            <w:instrText xml:space="preserve"> HYPERLINK \l _Toc14819 </w:instrText>
          </w:r>
          <w:r>
            <w:rPr>
              <w:bCs/>
            </w:rPr>
            <w:fldChar w:fldCharType="separate"/>
          </w:r>
          <w:r>
            <w:rPr>
              <w:rFonts w:hint="eastAsia" w:ascii="楷体" w:hAnsi="楷体" w:eastAsia="楷体"/>
              <w:szCs w:val="24"/>
            </w:rPr>
            <w:t>铜：短期价格维持偏强，仍需警惕高位回落风险</w:t>
          </w:r>
          <w:r>
            <w:rPr>
              <w:bCs/>
            </w:rPr>
            <w:fldChar w:fldCharType="end"/>
          </w:r>
        </w:p>
        <w:p>
          <w:pPr>
            <w:pStyle w:val="74"/>
            <w:tabs>
              <w:tab w:val="right" w:leader="dot" w:pos="8306"/>
            </w:tabs>
          </w:pPr>
          <w:r>
            <w:rPr>
              <w:bCs/>
            </w:rPr>
            <w:fldChar w:fldCharType="begin"/>
          </w:r>
          <w:r>
            <w:rPr>
              <w:bCs/>
            </w:rPr>
            <w:instrText xml:space="preserve"> HYPERLINK \l _Toc28416 </w:instrText>
          </w:r>
          <w:r>
            <w:rPr>
              <w:bCs/>
            </w:rPr>
            <w:fldChar w:fldCharType="separate"/>
          </w:r>
          <w:r>
            <w:rPr>
              <w:rFonts w:hint="eastAsia" w:ascii="楷体" w:hAnsi="楷体" w:eastAsia="楷体"/>
              <w:szCs w:val="24"/>
            </w:rPr>
            <w:t>铝：铝价上行动力有限，建议观望</w:t>
          </w:r>
          <w:r>
            <w:rPr>
              <w:bCs/>
            </w:rPr>
            <w:fldChar w:fldCharType="end"/>
          </w:r>
        </w:p>
        <w:p>
          <w:pPr>
            <w:pStyle w:val="74"/>
            <w:tabs>
              <w:tab w:val="right" w:leader="dot" w:pos="8306"/>
            </w:tabs>
          </w:pPr>
          <w:r>
            <w:rPr>
              <w:bCs/>
            </w:rPr>
            <w:fldChar w:fldCharType="begin"/>
          </w:r>
          <w:r>
            <w:rPr>
              <w:bCs/>
            </w:rPr>
            <w:instrText xml:space="preserve"> HYPERLINK \l _Toc23834 </w:instrText>
          </w:r>
          <w:r>
            <w:rPr>
              <w:bCs/>
            </w:rPr>
            <w:fldChar w:fldCharType="separate"/>
          </w:r>
          <w:r>
            <w:rPr>
              <w:rFonts w:hint="eastAsia" w:ascii="楷体" w:hAnsi="楷体" w:eastAsia="楷体"/>
              <w:szCs w:val="24"/>
            </w:rPr>
            <w:t>锌：锌价或出现回调，建议观望</w:t>
          </w:r>
          <w:r>
            <w:rPr>
              <w:bCs/>
            </w:rPr>
            <w:fldChar w:fldCharType="end"/>
          </w:r>
        </w:p>
        <w:p>
          <w:pPr>
            <w:pStyle w:val="74"/>
            <w:tabs>
              <w:tab w:val="right" w:leader="dot" w:pos="8306"/>
            </w:tabs>
          </w:pPr>
          <w:r>
            <w:rPr>
              <w:bCs/>
            </w:rPr>
            <w:fldChar w:fldCharType="begin"/>
          </w:r>
          <w:r>
            <w:rPr>
              <w:bCs/>
            </w:rPr>
            <w:instrText xml:space="preserve"> HYPERLINK \l _Toc4201 </w:instrText>
          </w:r>
          <w:r>
            <w:rPr>
              <w:bCs/>
            </w:rPr>
            <w:fldChar w:fldCharType="separate"/>
          </w:r>
          <w:r>
            <w:rPr>
              <w:rFonts w:hint="eastAsia" w:ascii="楷体" w:hAnsi="楷体" w:eastAsia="楷体"/>
              <w:szCs w:val="24"/>
            </w:rPr>
            <w:t>镍：利好驱动持续性有限，警惕回落风险</w:t>
          </w:r>
          <w:r>
            <w:rPr>
              <w:bCs/>
            </w:rPr>
            <w:fldChar w:fldCharType="end"/>
          </w:r>
        </w:p>
        <w:p>
          <w:pPr>
            <w:pStyle w:val="74"/>
            <w:tabs>
              <w:tab w:val="right" w:leader="dot" w:pos="8306"/>
            </w:tabs>
          </w:pPr>
          <w:r>
            <w:rPr>
              <w:bCs/>
            </w:rPr>
            <w:fldChar w:fldCharType="begin"/>
          </w:r>
          <w:r>
            <w:rPr>
              <w:bCs/>
            </w:rPr>
            <w:instrText xml:space="preserve"> HYPERLINK \l _Toc19411 </w:instrText>
          </w:r>
          <w:r>
            <w:rPr>
              <w:bCs/>
            </w:rPr>
            <w:fldChar w:fldCharType="separate"/>
          </w:r>
          <w:r>
            <w:rPr>
              <w:rFonts w:hint="eastAsia" w:ascii="楷体" w:hAnsi="楷体" w:eastAsia="楷体"/>
              <w:szCs w:val="24"/>
            </w:rPr>
            <w:t>不锈钢：受到需求疲弱制约，预计价格承压运行</w:t>
          </w:r>
          <w:r>
            <w:rPr>
              <w:bCs/>
            </w:rPr>
            <w:fldChar w:fldCharType="end"/>
          </w:r>
        </w:p>
        <w:p>
          <w:pPr>
            <w:pStyle w:val="74"/>
            <w:tabs>
              <w:tab w:val="right" w:leader="dot" w:pos="8306"/>
            </w:tabs>
          </w:pPr>
          <w:r>
            <w:rPr>
              <w:bCs/>
            </w:rPr>
            <w:fldChar w:fldCharType="begin"/>
          </w:r>
          <w:r>
            <w:rPr>
              <w:bCs/>
            </w:rPr>
            <w:instrText xml:space="preserve"> HYPERLINK \l _Toc28417 </w:instrText>
          </w:r>
          <w:r>
            <w:rPr>
              <w:bCs/>
            </w:rPr>
            <w:fldChar w:fldCharType="separate"/>
          </w:r>
          <w:r>
            <w:rPr>
              <w:rFonts w:hint="eastAsia" w:ascii="楷体" w:hAnsi="楷体" w:eastAsia="楷体"/>
              <w:szCs w:val="24"/>
            </w:rPr>
            <w:t>工业硅：基本面边际转弱，盘面承压下行</w:t>
          </w:r>
          <w:r>
            <w:rPr>
              <w:bCs/>
            </w:rPr>
            <w:fldChar w:fldCharType="end"/>
          </w:r>
        </w:p>
        <w:p>
          <w:pPr>
            <w:pStyle w:val="59"/>
            <w:tabs>
              <w:tab w:val="right" w:leader="dot" w:pos="8306"/>
            </w:tabs>
          </w:pPr>
          <w:r>
            <w:rPr>
              <w:bCs/>
            </w:rPr>
            <w:fldChar w:fldCharType="begin"/>
          </w:r>
          <w:r>
            <w:rPr>
              <w:bCs/>
            </w:rPr>
            <w:instrText xml:space="preserve"> HYPERLINK \l _Toc17636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_Toc1513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供应面利好叠加收储传闻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_Toc14337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_Toc19122 </w:instrText>
          </w:r>
          <w:r>
            <w:rPr>
              <w:bCs/>
            </w:rPr>
            <w:fldChar w:fldCharType="separate"/>
          </w:r>
          <w:r>
            <w:rPr>
              <w:rFonts w:hint="eastAsia" w:ascii="楷体" w:hAnsi="楷体" w:eastAsia="楷体"/>
              <w:szCs w:val="24"/>
            </w:rPr>
            <w:t>玻璃：需求预期弱，成本线附近建议观望</w:t>
          </w:r>
          <w:r>
            <w:rPr>
              <w:bCs/>
            </w:rPr>
            <w:fldChar w:fldCharType="end"/>
          </w:r>
        </w:p>
        <w:p>
          <w:pPr>
            <w:pStyle w:val="74"/>
            <w:tabs>
              <w:tab w:val="right" w:leader="dot" w:pos="8306"/>
            </w:tabs>
          </w:pPr>
          <w:r>
            <w:rPr>
              <w:bCs/>
            </w:rPr>
            <w:fldChar w:fldCharType="begin"/>
          </w:r>
          <w:r>
            <w:rPr>
              <w:bCs/>
            </w:rPr>
            <w:instrText xml:space="preserve"> HYPERLINK \l _Toc15969 </w:instrText>
          </w:r>
          <w:r>
            <w:rPr>
              <w:bCs/>
            </w:rPr>
            <w:fldChar w:fldCharType="separate"/>
          </w:r>
          <w:r>
            <w:rPr>
              <w:rFonts w:hint="eastAsia" w:ascii="楷体" w:hAnsi="楷体" w:eastAsia="楷体"/>
              <w:szCs w:val="24"/>
            </w:rPr>
            <w:t>纯碱：供给压力难解，反弹高空</w:t>
          </w:r>
          <w:r>
            <w:rPr>
              <w:bCs/>
            </w:rPr>
            <w:fldChar w:fldCharType="end"/>
          </w:r>
        </w:p>
        <w:p>
          <w:pPr>
            <w:pStyle w:val="59"/>
            <w:tabs>
              <w:tab w:val="right" w:leader="dot" w:pos="8306"/>
            </w:tabs>
          </w:pPr>
          <w:r>
            <w:rPr>
              <w:bCs/>
            </w:rPr>
            <w:fldChar w:fldCharType="begin"/>
          </w:r>
          <w:r>
            <w:rPr>
              <w:bCs/>
            </w:rPr>
            <w:instrText xml:space="preserve"> HYPERLINK \l _Toc11262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_Toc25946 </w:instrText>
          </w:r>
          <w:r>
            <w:rPr>
              <w:bCs/>
            </w:rPr>
            <w:fldChar w:fldCharType="separate"/>
          </w:r>
          <w:r>
            <w:rPr>
              <w:rFonts w:hint="eastAsia" w:ascii="楷体" w:hAnsi="楷体" w:eastAsia="楷体"/>
              <w:bCs/>
            </w:rPr>
            <w:t>玉米与淀粉：</w:t>
          </w:r>
          <w:r>
            <w:rPr>
              <w:rFonts w:hint="eastAsia" w:ascii="楷体" w:hAnsi="楷体" w:eastAsia="楷体"/>
            </w:rPr>
            <w:t>期价持续震荡或迎来上涨</w:t>
          </w:r>
          <w:r>
            <w:rPr>
              <w:bCs/>
            </w:rPr>
            <w:fldChar w:fldCharType="end"/>
          </w:r>
        </w:p>
        <w:p>
          <w:pPr>
            <w:pStyle w:val="74"/>
            <w:tabs>
              <w:tab w:val="right" w:leader="dot" w:pos="8306"/>
            </w:tabs>
          </w:pPr>
          <w:r>
            <w:rPr>
              <w:bCs/>
            </w:rPr>
            <w:fldChar w:fldCharType="begin"/>
          </w:r>
          <w:r>
            <w:rPr>
              <w:bCs/>
            </w:rPr>
            <w:instrText xml:space="preserve"> HYPERLINK \l _Toc24090 </w:instrText>
          </w:r>
          <w:r>
            <w:rPr>
              <w:bCs/>
            </w:rPr>
            <w:fldChar w:fldCharType="separate"/>
          </w:r>
          <w:r>
            <w:rPr>
              <w:rFonts w:hint="eastAsia" w:ascii="楷体" w:hAnsi="楷体" w:eastAsia="楷体"/>
              <w:bCs/>
            </w:rPr>
            <w:t>畜禽养殖：期价转为近弱远强</w:t>
          </w:r>
          <w:r>
            <w:rPr>
              <w:bCs/>
            </w:rPr>
            <w:fldChar w:fldCharType="end"/>
          </w:r>
        </w:p>
        <w:p>
          <w:pPr>
            <w:pStyle w:val="59"/>
            <w:tabs>
              <w:tab w:val="right" w:leader="dot" w:pos="8306"/>
            </w:tabs>
          </w:pPr>
          <w:r>
            <w:rPr>
              <w:bCs/>
            </w:rPr>
            <w:fldChar w:fldCharType="begin"/>
          </w:r>
          <w:r>
            <w:rPr>
              <w:bCs/>
            </w:rPr>
            <w:instrText xml:space="preserve"> HYPERLINK \l _Toc17167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_Toc11649 </w:instrText>
          </w:r>
          <w:r>
            <w:rPr>
              <w:bCs/>
            </w:rPr>
            <w:fldChar w:fldCharType="separate"/>
          </w:r>
          <w:r>
            <w:rPr>
              <w:rFonts w:hint="eastAsia" w:ascii="Times New Roman" w:hAnsi="Times New Roman" w:eastAsia="楷体"/>
              <w:szCs w:val="24"/>
            </w:rPr>
            <w:t>集运指数（欧线）：需求维持弱势，SCFI欧线下跌超7%继续回落</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27948"/>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6449"/>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震荡盘整为主</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近期两市指数持续反弹创新高，但沪指已经率先出现滞涨情况，存在一定调整压力。3月15日盘后，证监会集中发布《关于严把发行上市准入关从源头上提高上市公司质量的意见(试行)》等四项政策 文件，有助于从源头提升A股上市公司质量，保护投资者权益，促进一二级市场协调平衡发展，提升资本市场服务实体经济的效率和质量。管理层重视预期管理，有助于避免市场与管理层在经济和政策判断上出现重大分歧，有利于托住A股市场震荡区间下限，4月后经济内生改善能否持续仍有待观察，待调整后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5963"/>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7537"/>
      <w:r>
        <w:rPr>
          <w:rFonts w:hint="eastAsia" w:ascii="Times New Roman" w:hAnsi="Times New Roman" w:eastAsia="楷体"/>
          <w:b/>
          <w:color w:val="000000" w:themeColor="text1"/>
          <w:sz w:val="24"/>
          <w:szCs w:val="24"/>
          <w14:textFill>
            <w14:solidFill>
              <w14:schemeClr w14:val="tx1"/>
            </w14:solidFill>
          </w14:textFill>
        </w:rPr>
        <w:t>贵金属：静待联储3月议息决议，贵金属价格偏强运行</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0.06%至506.70元/克，周涨0.26%；沪银涨1.27%至6384元/千克，周涨3.75%。美国PPI数据超预期，2月PPI同比增1.6%，环比增0.6%；核心PPI同比增2.0%，核心PPI环比增0.3%，均超出此前预期。美国零售销售数据不及预期，2月零售销售环比增0.6%，预期增0.8%，前值为下降0.8%；核心零售销售环比增0.3%，预期增0.5%，前值降0.6%。美国上周初请失业金人数录得20.9万人，低于预期的21.8万，前值从21.7万修正为21万人。美国经济数据表现偏弱、就业市场放缓，通胀维持韧性、消费表现较弱，美联储主席讲话提及“降息并不遥远”，静待美联储3月议息决议，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17361"/>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30409"/>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碳酸锂：海外矿石拍卖等消息面因素扰动，期价上周冲高回落</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走平，期价上周冲高回落，盘初震荡上行至12万元/吨附近，周四午后大幅下跌近5%、尾盘进一步走弱，或受澳矿Pilbara提前结束拍卖影响。周五小幅低开后横盘运行、尾盘略微回升，07合约收跌0.65%至115050元/吨，周涨2.09%。两会期间江西碳酸锂企业开工偏低，生产企业库存回落，现货流通货源偏紧。终端需求逐步回暖，正极材料订单好转，磷酸铁锂供应持续增量，但企业仍面临原料成本压力，多数按单生产。澳洲Pilbara Minerals 3月14日公告，该公司已接受一份按离岸价 (CIF) 中国SC5.5标准计价1106美元/吨的预拍卖报价，并与买方签订销售合同，报价相当于按CIF中国SC6.0标准计价约1200元/吨。Pilbara原计划于3月18日举行5000干吨锂辉石精矿拍卖，这批货物将于2024年12月的季度交付。预拍卖报价高于当前市场锂矿报价，但或仍不及市场预期。另外，龙头锂企Albemarle雅保亦宣布将于3月26日举行10000吨锂辉石精矿拍卖，后续关注拍卖成交情况，锂价或于10-12万元/吨区间内运行，消息面因素扰动下期价波动或加剧。</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14819"/>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短期价格维持偏强，仍需警惕高位回落风险</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(1)库存：3月15日，SHFE仓单库存201687吨，增15486吨；SHFE周库存286395吨，较前一周增47150吨；LME仓单库存107300吨，减750吨。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(2)精废价差：3月15日，Mysteel精废价差2162，收窄328。目前价差在合理价差1419之上。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短期价格在资金热度高位下维持偏强运行，但仍需警惕高位快速回落风险。一方面，联储降息预期被充分消化后，实际降息往往伴随经济走弱，市场关注点将有所转移；另一方面，冶炼厂实际减产影响仍具有不确定性，且高铜价压制下游需求明显受抑，库存已表现超预期累增，不排除当前宏观与基本面的共振向上驱动转为共振向下。操作上，前期多单逐步止盈后离场先观望或者继续持有下做好止损。短期波动参考 72000-74000元。关注本周联储议息会议官员表态。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8416"/>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铝价上行动力有限，建议观望</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就业市场高温未退，PPI数据表现超出预期，欧洲央行表态年内将迎来降息，美元指数保持强势，国内两会后政策面延续积极宽松，宏观情绪支撑偏多。基本面维持供应端整体稳定，需求旺季边际修复的情况，暂无明显交易矛盾，铝棒库存未进入明显去库周期， 铝棒加工费走弱，铸锭社会库存仍在持续累积，表明需求修复空间有限，下游企业对后市态度偏向悲观。宏观利多情绪推动，基本面无明显交易矛盾，铝价上行动力有限，待市场多头情绪消散，价格预计将重回震荡区间，建议先观望。</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3834"/>
      <w:r>
        <w:rPr>
          <w:rFonts w:hint="eastAsia" w:ascii="楷体" w:hAnsi="楷体" w:eastAsia="楷体"/>
          <w:b/>
          <w:color w:val="000000" w:themeColor="text1"/>
          <w:sz w:val="24"/>
          <w:szCs w:val="24"/>
          <w14:textFill>
            <w14:solidFill>
              <w14:schemeClr w14:val="tx1"/>
            </w14:solidFill>
          </w14:textFill>
        </w:rPr>
        <w:t>锌：锌价或出现回调，建议观望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利多情绪完成释放，国内矿端供应偏紧，随着加工费不持续走弱，，部分炼厂利润倒挂，目前多地炼厂计划检修，3月产量或环比走弱，下游消费来看开工率逐渐恢复，但较去年同期水平表现下降。进口锌补充窗口打开，海外库存累积，全球库存仍维持偏低水平。锌价测试前高承压，短期或出现回调，建议适时止盈。</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4201"/>
      <w:r>
        <w:rPr>
          <w:rFonts w:hint="eastAsia" w:ascii="楷体" w:hAnsi="楷体" w:eastAsia="楷体"/>
          <w:b/>
          <w:color w:val="000000" w:themeColor="text1"/>
          <w:sz w:val="24"/>
          <w:szCs w:val="24"/>
          <w14:textFill>
            <w14:solidFill>
              <w14:schemeClr w14:val="tx1"/>
            </w14:solidFill>
          </w14:textFill>
        </w:rPr>
        <w:t>镍：利好驱动持续性有限，警惕回落风险</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期镍价偏强的驱动因素主要在于：一、美联储降息预期升温，宏观情绪整体偏多。二、中间品及硫酸镍处于阶段性供需偏紧局势，因此价格偏强运行，镍价成本支撑走强。三、短期印尼镍矿资源仍偏紧。然而，精炼镍产能继续释放，镍供应显著过剩格局不改，社会库存维持累库，镍价反弹空间有限。美联储降息预期仍将反复摇摆，印尼镍矿RKAB审批或在月底有明显进展，镍成本支撑也将随着MHP和硫酸镍阶段性供应紧张局势缓解而减弱，需警惕镍价回落风险，操作上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9411"/>
      <w:r>
        <w:rPr>
          <w:rFonts w:hint="eastAsia" w:ascii="楷体" w:hAnsi="楷体" w:eastAsia="楷体"/>
          <w:b/>
          <w:color w:val="000000" w:themeColor="text1"/>
          <w:sz w:val="24"/>
          <w:szCs w:val="24"/>
          <w14:textFill>
            <w14:solidFill>
              <w14:schemeClr w14:val="tx1"/>
            </w14:solidFill>
          </w14:textFill>
        </w:rPr>
        <w:t>不锈钢：受到需求疲弱制约，预计价格承压运行</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从成本来看，印尼镍矿RKAB审批缓慢使得印尼镍矿资源偏紧，为短期镍矿和镍铁价格形成支撑，预计三月底印尼镍矿审批速度将加快，届时镍矿及镍铁价格存下跌空间。从供需来看，不锈钢厂陆续复产，据Mysteel预估，国内43家不锈钢厂粗钢3月排产312.03万吨，月环比增加21.4%，而节后下游成交多以刚需采购为主，需求表现不佳。综合而言，当前不锈钢价格的逻辑因素主要在于弱需求与高成本的矛盾，需求疲弱对价格带来明显制约，预计不锈钢价格承压运行，但短期镍矿资源偏紧问题预计持续，因此不锈钢成本支撑犹存，支撑位参考13400-13500元/吨，持续关注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8417"/>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基本面边际转弱，盘面承压下行</w:t>
      </w:r>
      <w:bookmarkEnd w:id="27"/>
    </w:p>
    <w:p>
      <w:pPr>
        <w:ind w:left="630" w:leftChars="300"/>
        <w:rPr>
          <w:rFonts w:ascii="楷体" w:hAnsi="楷体" w:eastAsia="楷体"/>
          <w:sz w:val="24"/>
          <w:szCs w:val="24"/>
        </w:rPr>
      </w:pPr>
      <w:r>
        <w:rPr>
          <w:rFonts w:hint="eastAsia" w:ascii="楷体" w:hAnsi="楷体" w:eastAsia="楷体"/>
          <w:sz w:val="24"/>
          <w:szCs w:val="24"/>
        </w:rPr>
        <w:t>3月15日，Si2405主力合约呈增仓下行走势，收盘价12790元/吨，较上一收盘价涨跌幅-3.33%。从基本面来看，虽然西南处于季节性减产，但北方供应持续恢复，使得供应有所增加。而下游多晶硅现货价格出现下跌，其下游硅片企业出现减产情况，使得市场对于多晶硅拉动需求改善预期转弱。目前，行业依旧处于供需双增格局，但由基本面边际转弱，叠加行业库存偏高，预计盘面或将偏弱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7636"/>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513"/>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供应面利好叠加收储传闻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在短线大幅上涨后，后续上行空间或有限。</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4337"/>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北方地区农膜行业已经进入需求旺季，带动LLDPE现货价格上行，塑料期货反弹，而PP新增产能压力仍存，泉州国亨化学45万吨/年PP装置前期造粒成功，即将试车。整体供应压力PP&gt;PE。聚烯烃存量装置供应较为充足，目前库存水平依旧偏高，石化库存去化缓慢，延续供需双增格局。国际油价上行，煤炭偏弱，油制成本支撑增强，煤制成本支撑减弱。预计短期聚烯烃价格维持震荡走势，PE走势或在需求面的托举下强于PP。</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9122"/>
      <w:r>
        <w:rPr>
          <w:rFonts w:hint="eastAsia" w:ascii="楷体" w:hAnsi="楷体" w:eastAsia="楷体"/>
          <w:b/>
          <w:color w:val="000000" w:themeColor="text1"/>
          <w:sz w:val="24"/>
          <w:szCs w:val="24"/>
          <w14:textFill>
            <w14:solidFill>
              <w14:schemeClr w14:val="tx1"/>
            </w14:solidFill>
          </w14:textFill>
        </w:rPr>
        <w:t>玻璃：需求预期弱，成本线附近建议观望</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玻璃处于供强需弱，累库阶段，复产后需求不及预期。下游深加工回款压力大叠加今年年内对地产行业的悲观预期，产业链上下游库存传导并不顺畅，下游虽然复工但复产较差，原片厂和贸易商降价清库，下游拿货谨慎。供给端方面，行业近期复产产线点火较多，产量提升，供给偏强。需求端方面，年后地产竣工高峰期结束，高回款压力下，下游虽然有补库需求但大规模备货概率较低，按需采购为主。短期节后下游补库预期证伪，需求持续疲软，期现延续前期的负反馈行情。从盘面上看，4月上游厂商继续保价，深加工订单环比在回升，周内主力合约期价跌至成本线附近反复震荡，整体情绪偏空，观察后续现货端能否企稳，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5969"/>
      <w:r>
        <w:rPr>
          <w:rFonts w:hint="eastAsia" w:ascii="楷体" w:hAnsi="楷体" w:eastAsia="楷体"/>
          <w:b/>
          <w:color w:val="000000" w:themeColor="text1"/>
          <w:sz w:val="24"/>
          <w:szCs w:val="24"/>
          <w14:textFill>
            <w14:solidFill>
              <w14:schemeClr w14:val="tx1"/>
            </w14:solidFill>
          </w14:textFill>
        </w:rPr>
        <w:t>纯碱：供给压力难解，反弹高空</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供给压力难解。供给方面，2月-3月进口碱到港较多，大规模检修较少，整体供给处于宽松状态，周初轻碱下游阶段性补库带动期价反弹，但持续性不佳，现货端，3月以后库存快速累积，现货价格下行趋势未改，短期再度进入下降通道。从需求端看，下游多数也处于供给过剩的状态，新的爆发增长点较少，重碱需求增长点主要在光伏玻璃上，浮法玻璃需求稳定，厂家补库偏刚需，轻碱主要增量在日用消费和碳酸锂上，但整体供给增量高于需求恢复量。从盘面来看，主力合约随着现货下跌，基差逐步收敛，后市在供给宽松的，库存中性的情况下，价格仍旧承压，期价反弹到平水或者小幅升水后有套保压力。操作上，建议反弹逢高沽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11262"/>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25946"/>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期价持续震荡或迎来上涨</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前期期现货的持续调整可以简单理解为市场对东北产区高价的担忧，其包括两个方向，一是其能否持续，这主要源于东北产区余粮特别是地趴粮的担忧；二是其能否往下游传导，这又包括两个方面，其中华北产区主要担忧是玉米余粮和新作小麦，而南方销区更多是进口谷物。而随着时间的推进，余粮压力或逐步释放，国家增储和进口管理传言亦有望提振市场预期，盘面9-5价差小幅走扩可加以印证，在这种情况下，我们倾向于期现货价格有望迎来一轮上涨行情。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因素发生较大变化，副产品受蛋白粕带动继续上涨继续形成利空，而行业供需短期转向利空，因行业开机率带动行业库存回升，而玉米原料则有望转向利多，现货基差和盘面生产利润继续构成支撑。综合来看，我们倾向于认为淀粉-玉米价差方向暂不明朗。综上所述，我们维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24090"/>
      <w:r>
        <w:rPr>
          <w:rFonts w:hint="eastAsia" w:ascii="楷体" w:hAnsi="楷体" w:eastAsia="楷体"/>
          <w:b/>
          <w:bCs/>
          <w:color w:val="000000" w:themeColor="text1"/>
          <w14:textFill>
            <w14:solidFill>
              <w14:schemeClr w14:val="tx1"/>
            </w14:solidFill>
          </w14:textFill>
        </w:rPr>
        <w:t>畜禽养殖：期价转为近弱远强</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则可能带来支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17167"/>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1649"/>
      <w:r>
        <w:rPr>
          <w:rFonts w:hint="eastAsia" w:ascii="Times New Roman" w:hAnsi="Times New Roman" w:eastAsia="楷体"/>
          <w:b/>
          <w:color w:val="000000" w:themeColor="text1"/>
          <w:sz w:val="24"/>
          <w:szCs w:val="24"/>
          <w14:textFill>
            <w14:solidFill>
              <w14:schemeClr w14:val="tx1"/>
            </w14:solidFill>
          </w14:textFill>
        </w:rPr>
        <w:t>集运指数（欧线）：需求维持弱势，SCFI欧线下跌超7%继续回落</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3月15日，上海港出口至欧洲基本港市场运价（海运及海运附加费）为1971美元/TEU，较上期下跌7.6%。</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据欧盟统计局公布的数据显示，1月欧元区工业产出环比下跌3.2%，为2023年3月以来的最大降幅，显示出欧洲地区制造业在进入2024年以来继续低迷的表现，这将拖累未来的经济复苏势头。此外，亚欧航线已经基本适应了地缘紧张局势的影响，供求平衡情况在近期成为影响运价走势的主要因素。预计市场价格继续弱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12779"/>
      <w:bookmarkStart w:id="40" w:name="_Toc19667"/>
      <w:bookmarkStart w:id="41" w:name="_Toc98426751"/>
      <w:bookmarkStart w:id="42" w:name="_Toc72481108"/>
      <w:bookmarkStart w:id="43" w:name="_Toc71212556"/>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2024年3月18日星期一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5B105F"/>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2024-03-18T02:20:46Z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