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4" w:name="_GoBack"/>
          <w:bookmarkEnd w:id="44"/>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_Toc19274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_Toc1211 </w:instrText>
          </w:r>
          <w:r>
            <w:rPr>
              <w:bCs/>
            </w:rPr>
            <w:fldChar w:fldCharType="separate"/>
          </w:r>
          <w:r>
            <w:rPr>
              <w:rFonts w:hint="eastAsia" w:ascii="Times New Roman" w:hAnsi="Times New Roman" w:eastAsia="楷体"/>
              <w:szCs w:val="24"/>
            </w:rPr>
            <w:t>股指：待盘整后低多</w:t>
          </w:r>
          <w:r>
            <w:rPr>
              <w:bCs/>
            </w:rPr>
            <w:fldChar w:fldCharType="end"/>
          </w:r>
        </w:p>
        <w:p>
          <w:pPr>
            <w:pStyle w:val="59"/>
            <w:tabs>
              <w:tab w:val="right" w:leader="dot" w:pos="8306"/>
            </w:tabs>
          </w:pPr>
          <w:r>
            <w:rPr>
              <w:bCs/>
            </w:rPr>
            <w:fldChar w:fldCharType="begin"/>
          </w:r>
          <w:r>
            <w:rPr>
              <w:bCs/>
            </w:rPr>
            <w:instrText xml:space="preserve"> HYPERLINK \l _Toc5530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_Toc29529 </w:instrText>
          </w:r>
          <w:r>
            <w:rPr>
              <w:bCs/>
            </w:rPr>
            <w:fldChar w:fldCharType="separate"/>
          </w:r>
          <w:r>
            <w:rPr>
              <w:rFonts w:hint="eastAsia" w:ascii="Times New Roman" w:hAnsi="Times New Roman" w:eastAsia="楷体"/>
              <w:szCs w:val="24"/>
            </w:rPr>
            <w:t>贵金属：鲍威尔主席称降息并不遥远，贵金属价格维持涨势</w:t>
          </w:r>
          <w:r>
            <w:rPr>
              <w:bCs/>
            </w:rPr>
            <w:fldChar w:fldCharType="end"/>
          </w:r>
        </w:p>
        <w:p>
          <w:pPr>
            <w:pStyle w:val="59"/>
            <w:tabs>
              <w:tab w:val="right" w:leader="dot" w:pos="8306"/>
            </w:tabs>
          </w:pPr>
          <w:r>
            <w:rPr>
              <w:bCs/>
            </w:rPr>
            <w:fldChar w:fldCharType="begin"/>
          </w:r>
          <w:r>
            <w:rPr>
              <w:bCs/>
            </w:rPr>
            <w:instrText xml:space="preserve"> HYPERLINK \l _Toc4406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_Toc6591 </w:instrText>
          </w:r>
          <w:r>
            <w:rPr>
              <w:bCs/>
            </w:rPr>
            <w:fldChar w:fldCharType="separate"/>
          </w:r>
          <w:r>
            <w:rPr>
              <w:rFonts w:hint="eastAsia" w:ascii="楷体" w:hAnsi="楷体" w:eastAsia="楷体"/>
              <w:szCs w:val="24"/>
            </w:rPr>
            <w:t>碳酸锂：现货价格维持上行，期价小幅收涨</w:t>
          </w:r>
          <w:r>
            <w:rPr>
              <w:bCs/>
            </w:rPr>
            <w:fldChar w:fldCharType="end"/>
          </w:r>
        </w:p>
        <w:p>
          <w:pPr>
            <w:pStyle w:val="74"/>
            <w:tabs>
              <w:tab w:val="right" w:leader="dot" w:pos="8306"/>
            </w:tabs>
          </w:pPr>
          <w:r>
            <w:rPr>
              <w:bCs/>
            </w:rPr>
            <w:fldChar w:fldCharType="begin"/>
          </w:r>
          <w:r>
            <w:rPr>
              <w:bCs/>
            </w:rPr>
            <w:instrText xml:space="preserve"> HYPERLINK \l _Toc889 </w:instrText>
          </w:r>
          <w:r>
            <w:rPr>
              <w:bCs/>
            </w:rPr>
            <w:fldChar w:fldCharType="separate"/>
          </w:r>
          <w:r>
            <w:rPr>
              <w:rFonts w:hint="eastAsia" w:ascii="楷体" w:hAnsi="楷体" w:eastAsia="楷体"/>
              <w:szCs w:val="24"/>
            </w:rPr>
            <w:t>铜：美元指数下跌提振铜价</w:t>
          </w:r>
          <w:r>
            <w:rPr>
              <w:bCs/>
            </w:rPr>
            <w:fldChar w:fldCharType="end"/>
          </w:r>
        </w:p>
        <w:p>
          <w:pPr>
            <w:pStyle w:val="74"/>
            <w:tabs>
              <w:tab w:val="right" w:leader="dot" w:pos="8306"/>
            </w:tabs>
          </w:pPr>
          <w:r>
            <w:rPr>
              <w:bCs/>
            </w:rPr>
            <w:fldChar w:fldCharType="begin"/>
          </w:r>
          <w:r>
            <w:rPr>
              <w:bCs/>
            </w:rPr>
            <w:instrText xml:space="preserve"> HYPERLINK \l _Toc32573 </w:instrText>
          </w:r>
          <w:r>
            <w:rPr>
              <w:bCs/>
            </w:rPr>
            <w:fldChar w:fldCharType="separate"/>
          </w:r>
          <w:r>
            <w:rPr>
              <w:rFonts w:hint="eastAsia" w:ascii="楷体" w:hAnsi="楷体" w:eastAsia="楷体"/>
              <w:szCs w:val="24"/>
            </w:rPr>
            <w:t>铝：宏观+基本面情绪共振，价格偏多看待</w:t>
          </w:r>
          <w:r>
            <w:rPr>
              <w:bCs/>
            </w:rPr>
            <w:fldChar w:fldCharType="end"/>
          </w:r>
        </w:p>
        <w:p>
          <w:pPr>
            <w:pStyle w:val="74"/>
            <w:tabs>
              <w:tab w:val="right" w:leader="dot" w:pos="8306"/>
            </w:tabs>
          </w:pPr>
          <w:r>
            <w:rPr>
              <w:bCs/>
            </w:rPr>
            <w:fldChar w:fldCharType="begin"/>
          </w:r>
          <w:r>
            <w:rPr>
              <w:bCs/>
            </w:rPr>
            <w:instrText xml:space="preserve"> HYPERLINK \l _Toc22597 </w:instrText>
          </w:r>
          <w:r>
            <w:rPr>
              <w:bCs/>
            </w:rPr>
            <w:fldChar w:fldCharType="separate"/>
          </w:r>
          <w:r>
            <w:rPr>
              <w:rFonts w:hint="eastAsia" w:ascii="楷体" w:hAnsi="楷体" w:eastAsia="楷体"/>
              <w:szCs w:val="24"/>
            </w:rPr>
            <w:t>锌：锌价强势运行</w:t>
          </w:r>
          <w:r>
            <w:rPr>
              <w:bCs/>
            </w:rPr>
            <w:fldChar w:fldCharType="end"/>
          </w:r>
        </w:p>
        <w:p>
          <w:pPr>
            <w:pStyle w:val="74"/>
            <w:tabs>
              <w:tab w:val="right" w:leader="dot" w:pos="8306"/>
            </w:tabs>
          </w:pPr>
          <w:r>
            <w:rPr>
              <w:bCs/>
            </w:rPr>
            <w:fldChar w:fldCharType="begin"/>
          </w:r>
          <w:r>
            <w:rPr>
              <w:bCs/>
            </w:rPr>
            <w:instrText xml:space="preserve"> HYPERLINK \l _Toc17057 </w:instrText>
          </w:r>
          <w:r>
            <w:rPr>
              <w:bCs/>
            </w:rPr>
            <w:fldChar w:fldCharType="separate"/>
          </w:r>
          <w:r>
            <w:rPr>
              <w:rFonts w:hint="eastAsia" w:ascii="楷体" w:hAnsi="楷体" w:eastAsia="楷体"/>
              <w:szCs w:val="24"/>
            </w:rPr>
            <w:t>镍：逐步回归基本面逻辑，预计镍价震荡偏弱</w:t>
          </w:r>
          <w:r>
            <w:rPr>
              <w:bCs/>
            </w:rPr>
            <w:fldChar w:fldCharType="end"/>
          </w:r>
        </w:p>
        <w:p>
          <w:pPr>
            <w:pStyle w:val="74"/>
            <w:tabs>
              <w:tab w:val="right" w:leader="dot" w:pos="8306"/>
            </w:tabs>
          </w:pPr>
          <w:r>
            <w:rPr>
              <w:bCs/>
            </w:rPr>
            <w:fldChar w:fldCharType="begin"/>
          </w:r>
          <w:r>
            <w:rPr>
              <w:bCs/>
            </w:rPr>
            <w:instrText xml:space="preserve"> HYPERLINK \l _Toc21472 </w:instrText>
          </w:r>
          <w:r>
            <w:rPr>
              <w:bCs/>
            </w:rPr>
            <w:fldChar w:fldCharType="separate"/>
          </w:r>
          <w:r>
            <w:rPr>
              <w:rFonts w:hint="eastAsia" w:ascii="楷体" w:hAnsi="楷体" w:eastAsia="楷体"/>
              <w:szCs w:val="24"/>
            </w:rPr>
            <w:t>不锈钢：下方成本支撑较强，但需求疲软带来压制</w:t>
          </w:r>
          <w:r>
            <w:rPr>
              <w:bCs/>
            </w:rPr>
            <w:fldChar w:fldCharType="end"/>
          </w:r>
        </w:p>
        <w:p>
          <w:pPr>
            <w:pStyle w:val="74"/>
            <w:tabs>
              <w:tab w:val="right" w:leader="dot" w:pos="8306"/>
            </w:tabs>
          </w:pPr>
          <w:r>
            <w:rPr>
              <w:bCs/>
            </w:rPr>
            <w:fldChar w:fldCharType="begin"/>
          </w:r>
          <w:r>
            <w:rPr>
              <w:bCs/>
            </w:rPr>
            <w:instrText xml:space="preserve"> HYPERLINK \l _Toc23836 </w:instrText>
          </w:r>
          <w:r>
            <w:rPr>
              <w:bCs/>
            </w:rPr>
            <w:fldChar w:fldCharType="separate"/>
          </w:r>
          <w:r>
            <w:rPr>
              <w:rFonts w:hint="eastAsia" w:ascii="楷体" w:hAnsi="楷体" w:eastAsia="楷体"/>
              <w:szCs w:val="24"/>
            </w:rPr>
            <w:t>工业硅：供需双增预期，短期或维持震荡运行</w:t>
          </w:r>
          <w:r>
            <w:rPr>
              <w:bCs/>
            </w:rPr>
            <w:fldChar w:fldCharType="end"/>
          </w:r>
        </w:p>
        <w:p>
          <w:pPr>
            <w:pStyle w:val="59"/>
            <w:tabs>
              <w:tab w:val="right" w:leader="dot" w:pos="8306"/>
            </w:tabs>
          </w:pPr>
          <w:r>
            <w:rPr>
              <w:bCs/>
            </w:rPr>
            <w:fldChar w:fldCharType="begin"/>
          </w:r>
          <w:r>
            <w:rPr>
              <w:bCs/>
            </w:rPr>
            <w:instrText xml:space="preserve"> HYPERLINK \l _Toc16559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_Toc13709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轮胎厂高开工与港口高库存并存 胶价短期或出现回调</w:t>
          </w:r>
          <w:r>
            <w:rPr>
              <w:bCs/>
            </w:rPr>
            <w:fldChar w:fldCharType="end"/>
          </w:r>
        </w:p>
        <w:p>
          <w:pPr>
            <w:pStyle w:val="74"/>
            <w:tabs>
              <w:tab w:val="right" w:leader="dot" w:pos="8306"/>
            </w:tabs>
          </w:pPr>
          <w:r>
            <w:rPr>
              <w:bCs/>
            </w:rPr>
            <w:fldChar w:fldCharType="begin"/>
          </w:r>
          <w:r>
            <w:rPr>
              <w:bCs/>
            </w:rPr>
            <w:instrText xml:space="preserve"> HYPERLINK \l _Toc24545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_Toc20238 </w:instrText>
          </w:r>
          <w:r>
            <w:rPr>
              <w:bCs/>
            </w:rPr>
            <w:fldChar w:fldCharType="separate"/>
          </w:r>
          <w:r>
            <w:rPr>
              <w:rFonts w:hint="eastAsia" w:ascii="楷体" w:hAnsi="楷体" w:eastAsia="楷体"/>
              <w:szCs w:val="24"/>
            </w:rPr>
            <w:t>玻璃：累库超预期，弱势震荡</w:t>
          </w:r>
          <w:r>
            <w:rPr>
              <w:bCs/>
            </w:rPr>
            <w:fldChar w:fldCharType="end"/>
          </w:r>
        </w:p>
        <w:p>
          <w:pPr>
            <w:pStyle w:val="74"/>
            <w:tabs>
              <w:tab w:val="right" w:leader="dot" w:pos="8306"/>
            </w:tabs>
          </w:pPr>
          <w:r>
            <w:rPr>
              <w:bCs/>
            </w:rPr>
            <w:fldChar w:fldCharType="begin"/>
          </w:r>
          <w:r>
            <w:rPr>
              <w:bCs/>
            </w:rPr>
            <w:instrText xml:space="preserve"> HYPERLINK \l _Toc23615 </w:instrText>
          </w:r>
          <w:r>
            <w:rPr>
              <w:bCs/>
            </w:rPr>
            <w:fldChar w:fldCharType="separate"/>
          </w:r>
          <w:r>
            <w:rPr>
              <w:rFonts w:hint="eastAsia" w:ascii="楷体" w:hAnsi="楷体" w:eastAsia="楷体"/>
              <w:szCs w:val="24"/>
            </w:rPr>
            <w:t>纯碱：消息面刺激较多，关注套保压力</w:t>
          </w:r>
          <w:r>
            <w:rPr>
              <w:bCs/>
            </w:rPr>
            <w:fldChar w:fldCharType="end"/>
          </w:r>
        </w:p>
        <w:p>
          <w:pPr>
            <w:pStyle w:val="59"/>
            <w:tabs>
              <w:tab w:val="right" w:leader="dot" w:pos="8306"/>
            </w:tabs>
          </w:pPr>
          <w:r>
            <w:rPr>
              <w:bCs/>
            </w:rPr>
            <w:fldChar w:fldCharType="begin"/>
          </w:r>
          <w:r>
            <w:rPr>
              <w:bCs/>
            </w:rPr>
            <w:instrText xml:space="preserve"> HYPERLINK \l _Toc29935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_Toc14533 </w:instrText>
          </w:r>
          <w:r>
            <w:rPr>
              <w:bCs/>
            </w:rPr>
            <w:fldChar w:fldCharType="separate"/>
          </w:r>
          <w:r>
            <w:rPr>
              <w:rFonts w:hint="eastAsia" w:ascii="楷体" w:hAnsi="楷体" w:eastAsia="楷体"/>
              <w:bCs/>
            </w:rPr>
            <w:t>玉米与淀粉：</w:t>
          </w:r>
          <w:r>
            <w:rPr>
              <w:rFonts w:hint="eastAsia" w:ascii="楷体" w:hAnsi="楷体" w:eastAsia="楷体"/>
            </w:rPr>
            <w:t>期价延续调整态势</w:t>
          </w:r>
          <w:r>
            <w:rPr>
              <w:bCs/>
            </w:rPr>
            <w:fldChar w:fldCharType="end"/>
          </w:r>
        </w:p>
        <w:p>
          <w:pPr>
            <w:pStyle w:val="74"/>
            <w:tabs>
              <w:tab w:val="right" w:leader="dot" w:pos="8306"/>
            </w:tabs>
          </w:pPr>
          <w:r>
            <w:rPr>
              <w:bCs/>
            </w:rPr>
            <w:fldChar w:fldCharType="begin"/>
          </w:r>
          <w:r>
            <w:rPr>
              <w:bCs/>
            </w:rPr>
            <w:instrText xml:space="preserve"> HYPERLINK \l _Toc6021 </w:instrText>
          </w:r>
          <w:r>
            <w:rPr>
              <w:bCs/>
            </w:rPr>
            <w:fldChar w:fldCharType="separate"/>
          </w:r>
          <w:r>
            <w:rPr>
              <w:rFonts w:hint="eastAsia" w:ascii="楷体" w:hAnsi="楷体" w:eastAsia="楷体"/>
              <w:bCs/>
            </w:rPr>
            <w:t>畜禽养殖：期价冲高回落</w:t>
          </w:r>
          <w:r>
            <w:rPr>
              <w:bCs/>
            </w:rPr>
            <w:fldChar w:fldCharType="end"/>
          </w:r>
        </w:p>
        <w:p>
          <w:pPr>
            <w:pStyle w:val="59"/>
            <w:tabs>
              <w:tab w:val="right" w:leader="dot" w:pos="8306"/>
            </w:tabs>
          </w:pPr>
          <w:r>
            <w:rPr>
              <w:bCs/>
            </w:rPr>
            <w:fldChar w:fldCharType="begin"/>
          </w:r>
          <w:r>
            <w:rPr>
              <w:bCs/>
            </w:rPr>
            <w:instrText xml:space="preserve"> HYPERLINK \l _Toc16554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_Toc26746 </w:instrText>
          </w:r>
          <w:r>
            <w:rPr>
              <w:bCs/>
            </w:rPr>
            <w:fldChar w:fldCharType="separate"/>
          </w:r>
          <w:r>
            <w:rPr>
              <w:rFonts w:hint="eastAsia" w:ascii="Times New Roman" w:hAnsi="Times New Roman" w:eastAsia="楷体"/>
              <w:szCs w:val="24"/>
            </w:rPr>
            <w:t>集运指数（欧线）：博弈今天SCFI数据公布，期价继续弱震荡</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19274"/>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1211"/>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待盘整后低多</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昨日盘后十四届全国人大二次会议召开经济主题记者会，其中吴主席直面A股市场根本问题，强调“二者是一体两面的、不能分割的”、强调“投融资平衡发展”。一是IPO，严把入口，全力把造假者挡在资本市场门外。二是狠抓日常、加强监管，防假打假、规范减持（包括转融通的问题）、推动分红。三是畅通出口，即加大退市力度。四是压实责任，既包括控股股东、实控人、董监高的责任，也包括监管部门、行业主管部门、地方政府还有各类专业中介机构的责任。针对市场存在问题及股民切身利益，监管部门一针见血并逐步解决，是信心修复的关键所在。从近期市场表现情况来看，上证指数步入3000点之上后，多空双方的分歧明显增大，随着重要会议议程结束，政策将持续保持较强定力，意味着市场再度二次探底的可能性不大，但市场反弹至今，若想延续指数级别的贝塔行情，仍需要基本面的进一步催化，3月份及二季度的经济数据较为关键，一定程度将市场对全年的经济复苏预期。目前大部分投资者也是在一个边做边看的过程，短线预计市场在3000关口附近上下盘整，建议获利盘可部分逢高止盈，待调整后入场。</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5530"/>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29529"/>
      <w:r>
        <w:rPr>
          <w:rFonts w:hint="eastAsia" w:ascii="Times New Roman" w:hAnsi="Times New Roman" w:eastAsia="楷体"/>
          <w:b/>
          <w:color w:val="000000" w:themeColor="text1"/>
          <w:sz w:val="24"/>
          <w:szCs w:val="24"/>
          <w14:textFill>
            <w14:solidFill>
              <w14:schemeClr w14:val="tx1"/>
            </w14:solidFill>
          </w14:textFill>
        </w:rPr>
        <w:t>贵金属：鲍威尔主席称降息并不遥远，贵金属价格维持涨势</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美国经济数据走弱、联储官员讲话令海外降息预期升温，沪金涨0.44%至505.42元/克，沪银涨0.21%至6153元/千克。美联储鲍威尔主席表示，如果通胀走势符合预期，降息的过程可以而且将会在今年开始，降息并不遥远。欧央行公布利率决议，连续第四次维持三大关键利率不变，符合市场预期；另外，欧央行将今年欧元区通胀预期自2.7%下调至2.3%，并预计将在2025年实现2%的通胀目标；将欧元区今年GDP增长预期从0.8%下调至0.6%，2025年增长预期维持在1.5%。欧央行行长拉加德表示，此次会议没有讨论降息的可能性，欧洲央行的行动不会考虑美联储的货币政策行动。关注周五晚间美国非农就业人数、失业率等就业数据更新，经济数据表现偏弱，降息预期升温，贵金属价格或偏强运行。</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3096"/>
      <w:bookmarkStart w:id="11" w:name="_Toc20891"/>
      <w:bookmarkStart w:id="12" w:name="金属"/>
      <w:bookmarkStart w:id="13" w:name="_Toc4406"/>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6591"/>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碳酸锂：现货价格维持上行，期价小幅收涨</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小幅上行，期价高开震荡运行，尾盘小幅回落，07合约收涨0.27%至113000元/吨。智利2月出口锂盐到中国约1.6万吨，环比增速超60%，对3月供应贡献增量。赣锋锂业公告拟以自有资金不超过7,000万美元的交易对价认购阿根廷PGCO公司不低于14.8%的股份，本次交易的增发款主要用于推动阿根廷Pastos Grandes盆地锂盐湖项目的开发建设。3月下游排产环比上升，下游通过长协补充原料、暂维持刚需采购。随前期检修、假期复工后产量恢复，SMM预计3月碳酸锂月产量或环比增约38%。进入三月后品种或面临仓单注销压力，部分现货流入市场或为供应贡献增量。后续留意进口数据及下游补库需求兑现情况，期价短期内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889"/>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美元指数下跌提振铜价</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(1)宏观：美国至3月2日当周初请失业金人数21.7万人，预期21.5万人，前值21.5万人。</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(2)库存：3月7日，SHFE仓单库存148638吨，增5018吨；LME仓单库存113525吨，减250吨。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(3)精废价差：3月7日，Mysteel精废价差1592，扩张158。目前价差在合理价差1392之上。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在近期数据及美联储官方表态的双重打压下美元大幅走弱，提振铜价。关注本周五美国非农数据，若就业数据走弱，可能再次强化短期降息预期。基本面，铜精矿TC短暂企稳后继续下行，建议持续关注冶炼端产出情况。当前国内库存持续累增，需求在逐步验证中，短期价格驱动不明显，仍跟随宏观情绪波动，参考区间68500-70000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32573"/>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宏观+基本面情绪共振，价格偏多看待</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元指数承压，有色价格普涨，国内两会窗口释放市场积极信号，宏观利多。基本面上看，上游矿产供应偏紧，冶炼端保持生产，供应整体稳定，铝棒库存出现拐点，铸锭社会库存累库节奏放缓，下游需求消费节后回暖，金三银四旺季效应等待验证。宏观叠加基本面情绪验证之下，铝价上看19300前高压力位，短期偏多看待。</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22597"/>
      <w:r>
        <w:rPr>
          <w:rFonts w:hint="eastAsia" w:ascii="楷体" w:hAnsi="楷体" w:eastAsia="楷体"/>
          <w:b/>
          <w:color w:val="000000" w:themeColor="text1"/>
          <w:sz w:val="24"/>
          <w:szCs w:val="24"/>
          <w14:textFill>
            <w14:solidFill>
              <w14:schemeClr w14:val="tx1"/>
            </w14:solidFill>
          </w14:textFill>
        </w:rPr>
        <w:t>锌：锌价强势运行</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海外经济数据疲软，美元指数下行，国内两会窗口期，市场情绪偏弱。基本面上看，锌矿TC加速下行，矿端成本提供支撑，国内冶炼利润持续压缩，进口盈利窗口微启，库存绝对水平低位，需求端有政策性刺激预期叠加金三银四旺季消费，价格上方仍有想象空间，趋势偏多看待。</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17057"/>
      <w:r>
        <w:rPr>
          <w:rFonts w:hint="eastAsia" w:ascii="楷体" w:hAnsi="楷体" w:eastAsia="楷体"/>
          <w:b/>
          <w:color w:val="000000" w:themeColor="text1"/>
          <w:sz w:val="24"/>
          <w:szCs w:val="24"/>
          <w14:textFill>
            <w14:solidFill>
              <w14:schemeClr w14:val="tx1"/>
            </w14:solidFill>
          </w14:textFill>
        </w:rPr>
        <w:t>镍：逐步回归基本面逻辑，预计镍价震荡偏弱</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近日美元指数连续下挫，海外宏观压力减缓。消息扰动方面，据3月5日印尼官员表示，印尼能矿部已经批准723家申请公司中约120家矿产公司的采矿配额RKAB申请，能矿部计划在3月底前完成所有采矿审批，预计市场对印尼镍矿供应不确定性的担忧情绪会随之缓解，镍价逐步回归至基本面逻辑。成本方面，从中间品来看，受前期印尼华飞等MHP项目减产的影响，MHP供需偏紧，近期价格系数维持在75-80高位水平；从硫酸镍来看，此前持续性亏损压力使得硫酸镍厂家减产较多，而近期下游三元材料存在补库需求，在这种阶段性供需矛盾下短期硫酸镍价格偏强运行。供需方面，精炼镍产能继续释放，镍供应显著过剩的产业格局未有改变，Mysteel预计3月国内精炼镍产量预计26550吨，环比增加8.69%，同比增加56.36%。社会库存维持累库趋势。综合而言，在供应过剩压力及印尼镍矿扰动降温的影响下，预计镍价偏弱运行。</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21472"/>
      <w:r>
        <w:rPr>
          <w:rFonts w:hint="eastAsia" w:ascii="楷体" w:hAnsi="楷体" w:eastAsia="楷体"/>
          <w:b/>
          <w:color w:val="000000" w:themeColor="text1"/>
          <w:sz w:val="24"/>
          <w:szCs w:val="24"/>
          <w14:textFill>
            <w14:solidFill>
              <w14:schemeClr w14:val="tx1"/>
            </w14:solidFill>
          </w14:textFill>
        </w:rPr>
        <w:t>不锈钢：下方成本支撑较强，但需求疲软带来压制</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消息扰动方面，据印尼官员表示，印尼能矿部已经批准723家申请公司中约120家矿产公司的采矿配额申请，能矿部计划在3月底前完成所有采矿审批，预计市场对印尼镍矿供应不确定性的担忧情绪会随之缓解，价格逐渐回归至基本面逻辑。从成本来看，印尼镍矿RKAB审批缓慢使得印尼镍矿资源偏紧，推动近期镍矿和镍铁价格偏强运行，据Mysteel测算，不锈钢成本在13500-13600元/吨左右。从供需来看，不锈钢厂将陆续复产，据Mysteel预估，国内43家不锈钢厂粗钢3月排产312.03万吨，月环比增加21.4%，而节后下游成交多以刚需采购为主，未见需求明显回暖迹象，本周社会库存累库5.04%。综合而言，需求疲弱对价格带来压制，但成本支撑较强，不锈钢下方空间有限，持续关注需求状况及印尼镍矿RKAB审批进展。</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23836"/>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供需双增预期，短期或维持震荡运行</w:t>
      </w:r>
      <w:bookmarkEnd w:id="27"/>
    </w:p>
    <w:p>
      <w:pPr>
        <w:ind w:left="630" w:leftChars="300"/>
        <w:rPr>
          <w:rFonts w:ascii="楷体" w:hAnsi="楷体" w:eastAsia="楷体"/>
          <w:sz w:val="24"/>
          <w:szCs w:val="24"/>
        </w:rPr>
      </w:pPr>
      <w:r>
        <w:rPr>
          <w:rFonts w:hint="eastAsia" w:ascii="楷体" w:hAnsi="楷体" w:eastAsia="楷体"/>
          <w:sz w:val="24"/>
          <w:szCs w:val="24"/>
        </w:rPr>
        <w:t>3月7日，Si2405主力合约呈下行走势，收盘价13260元/吨，较上一收盘价涨跌幅-0.23%。供应方面，受行情低迷影响，云南保山地区个别工厂近期计划停炉检修，但北方产区供应已在陆续恢复，后续或仍有进一步恢复预期，整体供应或维持增加。需求方面，节后订单暂未出现明显放量，补库有所不及预期，但随着复工复产继续进行，有望逐步恢复。综合而言，行业后续存在供需双增预期，短期盘面维持震荡观点，参考区间13100-13700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6559"/>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13709"/>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轮胎厂高开工与港口高库存并存 胶价短期或出现回调</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供应处于季节性收缩时期，原料价格易涨难跌，标胶到港量下降预期偏强。库存方面，国内社会库存回升，青岛深色胶即将呈现累库拐点，浅色库存同比去年上升。需求端来看，节后返工叠加国内需求的全面复苏，下游工厂陆续复工复产，开工率将恢复性提升。整体看，春节后随着复工复产，天然橡胶需求端提振预期偏强，天胶库存或处于去库周期，但较往年偏高的库存依旧制约盘面上行。短期天胶在前期大涨后或偏弱回调。</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4545"/>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目前聚烯烃上游石化库存为99万吨，较春节前累库41.5万吨，与去年同期相比增幅较大，库存压力较大。聚烯烃自身开工负荷变动不大，但下游进入集中停工期，春节期间开工率大幅走低，需求降至年内冰点。进口方面，LL进口窗口打开，PP进口窗口关闭。聚烯烃基本面变动不大，建议逢低多L，逢高空PP性价比更高。</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20238"/>
      <w:r>
        <w:rPr>
          <w:rFonts w:hint="eastAsia" w:ascii="楷体" w:hAnsi="楷体" w:eastAsia="楷体"/>
          <w:b/>
          <w:color w:val="000000" w:themeColor="text1"/>
          <w:sz w:val="24"/>
          <w:szCs w:val="24"/>
          <w14:textFill>
            <w14:solidFill>
              <w14:schemeClr w14:val="tx1"/>
            </w14:solidFill>
          </w14:textFill>
        </w:rPr>
        <w:t>玻璃：累库超预期，弱势震荡</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3月7日报道:今日浮法玻璃现货价格1990元/吨，较上一交易日-6元/吨。供给上，全国浮法玻璃日产量为17.37万吨，比29日+0.78%。库存上，截止到20240307，全国浮法玻璃样本企业总库存5924.3万重箱，环比+352.1万重箱，环比+6.32%，从本周产销来看，较上周下滑明显。从需求看，下游元宵节后开始动工，但恢复较慢，上游沙河湖北主产区原片厂和中游贸易商库存持续积累，有待消化，周内降价清库，下游回款差，补库谨慎，刚需为主。盘面上本周累库程度略超预期，保价结束以后沙河和湖北现货价格继续下跌，日内跌破年线，短线情绪偏空。</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23615"/>
      <w:r>
        <w:rPr>
          <w:rFonts w:hint="eastAsia" w:ascii="楷体" w:hAnsi="楷体" w:eastAsia="楷体"/>
          <w:b/>
          <w:color w:val="000000" w:themeColor="text1"/>
          <w:sz w:val="24"/>
          <w:szCs w:val="24"/>
          <w14:textFill>
            <w14:solidFill>
              <w14:schemeClr w14:val="tx1"/>
            </w14:solidFill>
          </w14:textFill>
        </w:rPr>
        <w:t>纯碱：消息面刺激较多，关注套保压力</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周内纯碱现货端稳价，河北、河南等地重碱价格在1950-2000元/吨附近成交较多，消息面上碱厂联合挺价，下周部分碱厂计划涨价刺激下游补库。从供给端来看，隆众资讯3月7日报道:本周纯碱产量74.71万吨，环比增加0.4万吨，涨幅0.54%，3月中下旬有部分检修计划检修，同期青海地区产量回升，预计周度产量维持在72-73万吨附近。从库存上看，本周国内纯碱厂家总库存87.04万吨，环比增加2.28万吨，增幅2.69%，累库幅度边际减缓。需求上，玻璃厂重碱有进口碱补充，维持刚需;需求增量主要看轻碱下游，短期轻碱价格回升，刺激下游开始补库。从刚需来看，周度表需大约在63-64万吨，纯碱要大幅去库，那么周度表需要提升到75万吨以上，下游消耗空间有限，补库时间可能在1-2周，大规模集中补库难以长时间持续。盘面的反弹受到消息面的刺激较多，在未看到供给端减产之前，中期累库趋势难改，前期主力合约下跌至成本附近后企稳反弹收复基差，短线仍在反弹过程中，但是期价收至平水或小幅升水位置，给期现和碱厂较好的套保和套利空间。操作上，观望为主，等待反弹结束。</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29935"/>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14533"/>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期价延续调整态势</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节后以来期现货上涨之后，期价转为震荡调整，市场可能存在两个方面的担忧，其一是短期，主要担心为后期气温上升之后，余粮特别是地趴粮带来的供应压力；其二是国内价格上涨是的内外价差走扩，市场会担心进口增量来补充国内玉米产需缺口。换句话说，市场短期会再度担心阶段性供应压力，中长期产需缺口预期转变亦尚未成为市场共识，这需要市场逐步证实。我们维持谨慎看多观点，建议投资者持有前期多单，如无前期多单则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三方面因素均存在较大不确定性，除去上述的原料成本即玉米之外，副产品更多跟随蛋白粕走势，这取决于外盘美豆走势；行业供需中库存累积需要甄别其持续性，因其不排除是阶段性因素。在我们看来，考虑到盘面生产利润已进入亏损状况，在副产品和行业供需尚未确认之前，暂不适合入场做缩淀粉-玉米价差。综上所述，我们持谨慎看多观点，建议节前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6021"/>
      <w:r>
        <w:rPr>
          <w:rFonts w:hint="eastAsia" w:ascii="楷体" w:hAnsi="楷体" w:eastAsia="楷体"/>
          <w:b/>
          <w:bCs/>
          <w:color w:val="000000" w:themeColor="text1"/>
          <w14:textFill>
            <w14:solidFill>
              <w14:schemeClr w14:val="tx1"/>
            </w14:solidFill>
          </w14:textFill>
        </w:rPr>
        <w:t>畜禽养殖：期价冲高回落</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目前期价结构呈现远月升水结构，表明市场对远期供需预期趋于乐观，这主要源于产能去化即能繁母猪存栏的持续下降，但市场对其改善幅度存在分歧，特别是春节前仔猪现货价格大幅上涨之后，因其使得母猪养殖变得盈利，这将抑制产能的继续去化。而从农业农村部公布的四季度末生猪存栏可以看出，生猪供应有望低于去年同期，但考虑到需求季节性因素，能否改变供需格局尚未可知，而由于去年四季度豆粕和玉米的大幅下跌，生猪养殖饲料成本显著低于去年同期，在这种供需格局和饲料成本的背景下，市场普遍预计现货涨幅有限。接下来需要留意两个方面，其一是生猪价格何时确认季节性低点，及其低点的水平；其二是饲料原料成本，前期期价反弹更多源于后者。据此我们维持中性观点，建议谨慎投资者观望，激进投资者可以考虑短线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分析市场可以看出，节前期价持续下跌，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养殖户淘汰积极性持续较高。考虑到节后现货已季节性回落，中期与短期利空因素或已经在很大程度上得以释放，继续下跌空间或有限，接下来或震荡反弹或趋于调整。我们维持中性观点，建议投资者观望，可考虑参与短线操作。</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7" w:name="_Toc16554"/>
      <w:r>
        <w:rPr>
          <w:rFonts w:hint="eastAsia" w:ascii="Times New Roman" w:hAnsi="Times New Roman" w:eastAsia="楷体"/>
          <w:b/>
          <w:color w:val="823C0B"/>
          <w:sz w:val="30"/>
          <w:szCs w:val="30"/>
        </w:rPr>
        <w:t>[指数]</w:t>
      </w:r>
      <w:bookmarkEnd w:id="3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8" w:name="_Toc26746"/>
      <w:r>
        <w:rPr>
          <w:rFonts w:hint="eastAsia" w:ascii="Times New Roman" w:hAnsi="Times New Roman" w:eastAsia="楷体"/>
          <w:b/>
          <w:color w:val="000000" w:themeColor="text1"/>
          <w:sz w:val="24"/>
          <w:szCs w:val="24"/>
          <w14:textFill>
            <w14:solidFill>
              <w14:schemeClr w14:val="tx1"/>
            </w14:solidFill>
          </w14:textFill>
        </w:rPr>
        <w:t>集运指数（欧线）：博弈今天SCFI数据公布，期价继续弱震荡</w:t>
      </w:r>
      <w:bookmarkEnd w:id="38"/>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现货方面，上周五盘后公布新一期SCFI欧线数据下跌幅度超9%至2277美元/TEU。周一盘后SCFIS欧线小幅回落3%至2849.6点。目前进入周中的数据真空期。短期看，大多船司继续下调运费，其中马士基将Week11和Week12船代已经将运价下调至1700美金/TEU附近。同时根据最新消息达飞重新评估红海南部地区的情况，考虑个别船只通航红海。</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需求方面，春节后工厂开工、货运需求进入淡季。因此周期性因素拖动EC转弱势，但目前期价深度贴水，现货价格逐步向下收敛，因此预计期货价格弱震荡区间约为1700至2000点。</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71212556"/>
      <w:bookmarkStart w:id="40" w:name="_Toc98426751"/>
      <w:bookmarkStart w:id="41" w:name="_Toc12779"/>
      <w:bookmarkStart w:id="42" w:name="_Toc19667"/>
      <w:bookmarkStart w:id="43" w:name="_Toc72481108"/>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2024年3月8日星期五</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DC1B35"/>
    <w:rsid w:val="2056595D"/>
    <w:rsid w:val="20AE4DE8"/>
    <w:rsid w:val="21194658"/>
    <w:rsid w:val="216834DE"/>
    <w:rsid w:val="21996AC1"/>
    <w:rsid w:val="219F3EE2"/>
    <w:rsid w:val="21F57098"/>
    <w:rsid w:val="22BB5089"/>
    <w:rsid w:val="24321B2E"/>
    <w:rsid w:val="244B21DE"/>
    <w:rsid w:val="245C7DFE"/>
    <w:rsid w:val="247F3074"/>
    <w:rsid w:val="24B82D9D"/>
    <w:rsid w:val="258A2E5C"/>
    <w:rsid w:val="25B924F3"/>
    <w:rsid w:val="25E06B30"/>
    <w:rsid w:val="268419CF"/>
    <w:rsid w:val="26AC2D80"/>
    <w:rsid w:val="26F95364"/>
    <w:rsid w:val="29A303B9"/>
    <w:rsid w:val="2B9C319C"/>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6F6249"/>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7F46FBE"/>
    <w:rsid w:val="58042686"/>
    <w:rsid w:val="58246D5D"/>
    <w:rsid w:val="58EC5960"/>
    <w:rsid w:val="59151C86"/>
    <w:rsid w:val="59C52328"/>
    <w:rsid w:val="5AD37D8A"/>
    <w:rsid w:val="5B906095"/>
    <w:rsid w:val="5BF60A75"/>
    <w:rsid w:val="5C9F2D01"/>
    <w:rsid w:val="5D5617A6"/>
    <w:rsid w:val="5D716329"/>
    <w:rsid w:val="5EA23F15"/>
    <w:rsid w:val="5EA7685B"/>
    <w:rsid w:val="5ED40954"/>
    <w:rsid w:val="60BE22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79454F"/>
    <w:rsid w:val="6FE61065"/>
    <w:rsid w:val="70675779"/>
    <w:rsid w:val="713E0334"/>
    <w:rsid w:val="716F5E64"/>
    <w:rsid w:val="72417AFE"/>
    <w:rsid w:val="729B5F03"/>
    <w:rsid w:val="72D92B78"/>
    <w:rsid w:val="72F62A89"/>
    <w:rsid w:val="737357AF"/>
    <w:rsid w:val="74163BE4"/>
    <w:rsid w:val="75292EAC"/>
    <w:rsid w:val="755A5FEF"/>
    <w:rsid w:val="75775016"/>
    <w:rsid w:val="758E0106"/>
    <w:rsid w:val="7626762C"/>
    <w:rsid w:val="778F5135"/>
    <w:rsid w:val="77B53D6B"/>
    <w:rsid w:val="77D54B08"/>
    <w:rsid w:val="784F7772"/>
    <w:rsid w:val="78713929"/>
    <w:rsid w:val="78E55995"/>
    <w:rsid w:val="79267C0B"/>
    <w:rsid w:val="79C90FB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2024-03-08T02:50:41Z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