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Pr="00152664" w:rsidRDefault="00CC3FFA" w:rsidP="00152664">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2B294F"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2B294F" w:rsidRPr="00BA2756">
            <w:rPr>
              <w:rStyle w:val="a9"/>
              <w:noProof/>
            </w:rPr>
            <w:fldChar w:fldCharType="begin"/>
          </w:r>
          <w:r w:rsidR="002B294F" w:rsidRPr="00BA2756">
            <w:rPr>
              <w:rStyle w:val="a9"/>
              <w:noProof/>
            </w:rPr>
            <w:instrText xml:space="preserve"> </w:instrText>
          </w:r>
          <w:r w:rsidR="002B294F">
            <w:rPr>
              <w:noProof/>
            </w:rPr>
            <w:instrText>HYPERLINK \l "_Toc152058989"</w:instrText>
          </w:r>
          <w:r w:rsidR="002B294F" w:rsidRPr="00BA2756">
            <w:rPr>
              <w:rStyle w:val="a9"/>
              <w:noProof/>
            </w:rPr>
            <w:instrText xml:space="preserve"> </w:instrText>
          </w:r>
          <w:r w:rsidR="002B294F" w:rsidRPr="00BA2756">
            <w:rPr>
              <w:rStyle w:val="a9"/>
              <w:noProof/>
            </w:rPr>
          </w:r>
          <w:r w:rsidR="002B294F" w:rsidRPr="00BA2756">
            <w:rPr>
              <w:rStyle w:val="a9"/>
              <w:noProof/>
            </w:rPr>
            <w:fldChar w:fldCharType="separate"/>
          </w:r>
          <w:r w:rsidR="002B294F" w:rsidRPr="00BA2756">
            <w:rPr>
              <w:rStyle w:val="a9"/>
              <w:rFonts w:ascii="Times New Roman" w:eastAsia="楷体" w:hAnsi="Times New Roman"/>
              <w:b/>
              <w:noProof/>
            </w:rPr>
            <w:t>[</w:t>
          </w:r>
          <w:r w:rsidR="002B294F" w:rsidRPr="00BA2756">
            <w:rPr>
              <w:rStyle w:val="a9"/>
              <w:rFonts w:ascii="Times New Roman" w:eastAsia="楷体" w:hAnsi="Times New Roman"/>
              <w:b/>
              <w:noProof/>
            </w:rPr>
            <w:t>金融</w:t>
          </w:r>
          <w:r w:rsidR="002B294F" w:rsidRPr="00BA2756">
            <w:rPr>
              <w:rStyle w:val="a9"/>
              <w:rFonts w:ascii="Times New Roman" w:eastAsia="楷体" w:hAnsi="Times New Roman"/>
              <w:b/>
              <w:noProof/>
            </w:rPr>
            <w:t>]</w:t>
          </w:r>
          <w:r w:rsidR="002B294F" w:rsidRPr="00BA2756">
            <w:rPr>
              <w:rStyle w:val="a9"/>
              <w:noProof/>
            </w:rPr>
            <w:fldChar w:fldCharType="end"/>
          </w:r>
        </w:p>
        <w:p w:rsidR="002B294F" w:rsidRDefault="002B294F">
          <w:pPr>
            <w:pStyle w:val="23"/>
            <w:tabs>
              <w:tab w:val="right" w:leader="dot" w:pos="8296"/>
            </w:tabs>
            <w:rPr>
              <w:rFonts w:eastAsiaTheme="minorEastAsia"/>
              <w:noProof/>
              <w:szCs w:val="22"/>
            </w:rPr>
          </w:pPr>
          <w:hyperlink w:anchor="_Toc152058990" w:history="1">
            <w:r w:rsidRPr="00BA2756">
              <w:rPr>
                <w:rStyle w:val="a9"/>
                <w:rFonts w:ascii="Times New Roman" w:eastAsia="楷体" w:hAnsi="Times New Roman"/>
                <w:b/>
                <w:noProof/>
              </w:rPr>
              <w:t>股指：短线切勿追高，若有可观回踩，可逢低布局多单</w:t>
            </w:r>
          </w:hyperlink>
        </w:p>
        <w:p w:rsidR="002B294F" w:rsidRDefault="002B294F">
          <w:pPr>
            <w:pStyle w:val="11"/>
            <w:tabs>
              <w:tab w:val="right" w:leader="dot" w:pos="8296"/>
            </w:tabs>
            <w:rPr>
              <w:rFonts w:eastAsiaTheme="minorEastAsia"/>
              <w:noProof/>
              <w:szCs w:val="22"/>
            </w:rPr>
          </w:pPr>
          <w:hyperlink w:anchor="_Toc152058991" w:history="1">
            <w:r w:rsidRPr="00BA2756">
              <w:rPr>
                <w:rStyle w:val="a9"/>
                <w:rFonts w:ascii="Times New Roman" w:eastAsia="楷体" w:hAnsi="Times New Roman"/>
                <w:b/>
                <w:noProof/>
              </w:rPr>
              <w:t>[</w:t>
            </w:r>
            <w:r w:rsidRPr="00BA2756">
              <w:rPr>
                <w:rStyle w:val="a9"/>
                <w:rFonts w:ascii="Times New Roman" w:eastAsia="楷体" w:hAnsi="Times New Roman"/>
                <w:b/>
                <w:noProof/>
              </w:rPr>
              <w:t>贵金属</w:t>
            </w:r>
            <w:r w:rsidRPr="00BA2756">
              <w:rPr>
                <w:rStyle w:val="a9"/>
                <w:rFonts w:ascii="Times New Roman" w:eastAsia="楷体" w:hAnsi="Times New Roman"/>
                <w:b/>
                <w:noProof/>
              </w:rPr>
              <w:t>]</w:t>
            </w:r>
          </w:hyperlink>
        </w:p>
        <w:p w:rsidR="002B294F" w:rsidRDefault="002B294F">
          <w:pPr>
            <w:pStyle w:val="23"/>
            <w:tabs>
              <w:tab w:val="right" w:leader="dot" w:pos="8296"/>
            </w:tabs>
            <w:rPr>
              <w:rFonts w:eastAsiaTheme="minorEastAsia"/>
              <w:noProof/>
              <w:szCs w:val="22"/>
            </w:rPr>
          </w:pPr>
          <w:hyperlink w:anchor="_Toc152058992" w:history="1">
            <w:r w:rsidRPr="00BA2756">
              <w:rPr>
                <w:rStyle w:val="a9"/>
                <w:rFonts w:ascii="Times New Roman" w:eastAsia="楷体" w:hAnsi="Times New Roman"/>
                <w:b/>
                <w:noProof/>
              </w:rPr>
              <w:t>贵金属：欧央行行长提示暂停加息，内盘贵金属价格反弹</w:t>
            </w:r>
          </w:hyperlink>
        </w:p>
        <w:p w:rsidR="002B294F" w:rsidRDefault="002B294F">
          <w:pPr>
            <w:pStyle w:val="11"/>
            <w:tabs>
              <w:tab w:val="right" w:leader="dot" w:pos="8296"/>
            </w:tabs>
            <w:rPr>
              <w:rFonts w:eastAsiaTheme="minorEastAsia"/>
              <w:noProof/>
              <w:szCs w:val="22"/>
            </w:rPr>
          </w:pPr>
          <w:hyperlink w:anchor="_Toc152058993" w:history="1">
            <w:r w:rsidRPr="00BA2756">
              <w:rPr>
                <w:rStyle w:val="a9"/>
                <w:rFonts w:ascii="Times New Roman" w:eastAsia="楷体" w:hAnsi="Times New Roman"/>
                <w:b/>
                <w:noProof/>
              </w:rPr>
              <w:t>[</w:t>
            </w:r>
            <w:r w:rsidRPr="00BA2756">
              <w:rPr>
                <w:rStyle w:val="a9"/>
                <w:rFonts w:ascii="Times New Roman" w:eastAsia="楷体" w:hAnsi="Times New Roman"/>
                <w:b/>
                <w:noProof/>
              </w:rPr>
              <w:t>金属</w:t>
            </w:r>
            <w:r w:rsidRPr="00BA2756">
              <w:rPr>
                <w:rStyle w:val="a9"/>
                <w:rFonts w:ascii="Times New Roman" w:eastAsia="楷体" w:hAnsi="Times New Roman"/>
                <w:b/>
                <w:noProof/>
              </w:rPr>
              <w:t>]</w:t>
            </w:r>
          </w:hyperlink>
        </w:p>
        <w:p w:rsidR="002B294F" w:rsidRDefault="002B294F">
          <w:pPr>
            <w:pStyle w:val="23"/>
            <w:tabs>
              <w:tab w:val="right" w:leader="dot" w:pos="8296"/>
            </w:tabs>
            <w:rPr>
              <w:rFonts w:eastAsiaTheme="minorEastAsia"/>
              <w:noProof/>
              <w:szCs w:val="22"/>
            </w:rPr>
          </w:pPr>
          <w:hyperlink w:anchor="_Toc152058994" w:history="1">
            <w:r w:rsidRPr="00BA2756">
              <w:rPr>
                <w:rStyle w:val="a9"/>
                <w:rFonts w:ascii="楷体" w:eastAsia="楷体" w:hAnsi="楷体"/>
                <w:b/>
                <w:noProof/>
              </w:rPr>
              <w:t>碳酸锂：盐湖企业或计划放货，期价续创新低</w:t>
            </w:r>
          </w:hyperlink>
        </w:p>
        <w:p w:rsidR="002B294F" w:rsidRDefault="002B294F">
          <w:pPr>
            <w:pStyle w:val="23"/>
            <w:tabs>
              <w:tab w:val="right" w:leader="dot" w:pos="8296"/>
            </w:tabs>
            <w:rPr>
              <w:rFonts w:eastAsiaTheme="minorEastAsia"/>
              <w:noProof/>
              <w:szCs w:val="22"/>
            </w:rPr>
          </w:pPr>
          <w:hyperlink w:anchor="_Toc152058995" w:history="1">
            <w:r w:rsidRPr="00BA2756">
              <w:rPr>
                <w:rStyle w:val="a9"/>
                <w:rFonts w:ascii="楷体" w:eastAsia="楷体" w:hAnsi="楷体"/>
                <w:b/>
                <w:noProof/>
              </w:rPr>
              <w:t>螺纹钢：低库存强预期，高位震荡调整</w:t>
            </w:r>
          </w:hyperlink>
        </w:p>
        <w:p w:rsidR="002B294F" w:rsidRDefault="002B294F">
          <w:pPr>
            <w:pStyle w:val="23"/>
            <w:tabs>
              <w:tab w:val="right" w:leader="dot" w:pos="8296"/>
            </w:tabs>
            <w:rPr>
              <w:rFonts w:eastAsiaTheme="minorEastAsia"/>
              <w:noProof/>
              <w:szCs w:val="22"/>
            </w:rPr>
          </w:pPr>
          <w:hyperlink w:anchor="_Toc152058996" w:history="1">
            <w:r w:rsidRPr="00BA2756">
              <w:rPr>
                <w:rStyle w:val="a9"/>
                <w:rFonts w:ascii="楷体" w:eastAsia="楷体" w:hAnsi="楷体"/>
                <w:b/>
                <w:noProof/>
              </w:rPr>
              <w:t>焦炭：第二轮提涨提出，盘面估值过快高震荡调整</w:t>
            </w:r>
          </w:hyperlink>
        </w:p>
        <w:p w:rsidR="002B294F" w:rsidRDefault="002B294F">
          <w:pPr>
            <w:pStyle w:val="23"/>
            <w:tabs>
              <w:tab w:val="right" w:leader="dot" w:pos="8296"/>
            </w:tabs>
            <w:rPr>
              <w:rFonts w:eastAsiaTheme="minorEastAsia"/>
              <w:noProof/>
              <w:szCs w:val="22"/>
            </w:rPr>
          </w:pPr>
          <w:hyperlink w:anchor="_Toc152058997" w:history="1">
            <w:r w:rsidRPr="00BA2756">
              <w:rPr>
                <w:rStyle w:val="a9"/>
                <w:rFonts w:ascii="楷体" w:eastAsia="楷体" w:hAnsi="楷体"/>
                <w:b/>
                <w:noProof/>
              </w:rPr>
              <w:t>焦煤：利多出尽下，盘面向下调整</w:t>
            </w:r>
          </w:hyperlink>
        </w:p>
        <w:p w:rsidR="002B294F" w:rsidRDefault="002B294F">
          <w:pPr>
            <w:pStyle w:val="23"/>
            <w:tabs>
              <w:tab w:val="right" w:leader="dot" w:pos="8296"/>
            </w:tabs>
            <w:rPr>
              <w:rFonts w:eastAsiaTheme="minorEastAsia"/>
              <w:noProof/>
              <w:szCs w:val="22"/>
            </w:rPr>
          </w:pPr>
          <w:hyperlink w:anchor="_Toc152058998" w:history="1">
            <w:r w:rsidRPr="00BA2756">
              <w:rPr>
                <w:rStyle w:val="a9"/>
                <w:rFonts w:ascii="楷体" w:eastAsia="楷体" w:hAnsi="楷体"/>
                <w:b/>
                <w:noProof/>
              </w:rPr>
              <w:t>铜：短期高位震荡为主</w:t>
            </w:r>
          </w:hyperlink>
        </w:p>
        <w:p w:rsidR="002B294F" w:rsidRDefault="002B294F">
          <w:pPr>
            <w:pStyle w:val="23"/>
            <w:tabs>
              <w:tab w:val="right" w:leader="dot" w:pos="8296"/>
            </w:tabs>
            <w:rPr>
              <w:rFonts w:eastAsiaTheme="minorEastAsia"/>
              <w:noProof/>
              <w:szCs w:val="22"/>
            </w:rPr>
          </w:pPr>
          <w:hyperlink w:anchor="_Toc152058999" w:history="1">
            <w:r w:rsidRPr="00BA2756">
              <w:rPr>
                <w:rStyle w:val="a9"/>
                <w:rFonts w:ascii="楷体" w:eastAsia="楷体" w:hAnsi="楷体"/>
                <w:b/>
                <w:noProof/>
              </w:rPr>
              <w:t>铝：铝价维持区间偏弱震荡</w:t>
            </w:r>
          </w:hyperlink>
        </w:p>
        <w:p w:rsidR="002B294F" w:rsidRDefault="002B294F">
          <w:pPr>
            <w:pStyle w:val="23"/>
            <w:tabs>
              <w:tab w:val="right" w:leader="dot" w:pos="8296"/>
            </w:tabs>
            <w:rPr>
              <w:rFonts w:eastAsiaTheme="minorEastAsia"/>
              <w:noProof/>
              <w:szCs w:val="22"/>
            </w:rPr>
          </w:pPr>
          <w:hyperlink w:anchor="_Toc152059000" w:history="1">
            <w:r w:rsidRPr="00BA2756">
              <w:rPr>
                <w:rStyle w:val="a9"/>
                <w:rFonts w:ascii="楷体" w:eastAsia="楷体" w:hAnsi="楷体"/>
                <w:b/>
                <w:noProof/>
              </w:rPr>
              <w:t>锌：库存拐点出现带动价格上行，实际支撑较弱仍有向下可能</w:t>
            </w:r>
          </w:hyperlink>
        </w:p>
        <w:p w:rsidR="002B294F" w:rsidRDefault="002B294F">
          <w:pPr>
            <w:pStyle w:val="23"/>
            <w:tabs>
              <w:tab w:val="right" w:leader="dot" w:pos="8296"/>
            </w:tabs>
            <w:rPr>
              <w:rFonts w:eastAsiaTheme="minorEastAsia"/>
              <w:noProof/>
              <w:szCs w:val="22"/>
            </w:rPr>
          </w:pPr>
          <w:hyperlink w:anchor="_Toc152059001" w:history="1">
            <w:r w:rsidRPr="00BA2756">
              <w:rPr>
                <w:rStyle w:val="a9"/>
                <w:rFonts w:ascii="楷体" w:eastAsia="楷体" w:hAnsi="楷体"/>
                <w:b/>
                <w:noProof/>
              </w:rPr>
              <w:t>镍：供增需弱格局下，镍价仍有下行空间</w:t>
            </w:r>
          </w:hyperlink>
        </w:p>
        <w:p w:rsidR="002B294F" w:rsidRDefault="002B294F">
          <w:pPr>
            <w:pStyle w:val="23"/>
            <w:tabs>
              <w:tab w:val="right" w:leader="dot" w:pos="8296"/>
            </w:tabs>
            <w:rPr>
              <w:rFonts w:eastAsiaTheme="minorEastAsia"/>
              <w:noProof/>
              <w:szCs w:val="22"/>
            </w:rPr>
          </w:pPr>
          <w:hyperlink w:anchor="_Toc152059002" w:history="1">
            <w:r w:rsidRPr="00BA2756">
              <w:rPr>
                <w:rStyle w:val="a9"/>
                <w:rFonts w:ascii="楷体" w:eastAsia="楷体" w:hAnsi="楷体"/>
                <w:b/>
                <w:noProof/>
              </w:rPr>
              <w:t>铅：铝价上方压力仍存</w:t>
            </w:r>
          </w:hyperlink>
        </w:p>
        <w:p w:rsidR="002B294F" w:rsidRDefault="002B294F">
          <w:pPr>
            <w:pStyle w:val="23"/>
            <w:tabs>
              <w:tab w:val="right" w:leader="dot" w:pos="8296"/>
            </w:tabs>
            <w:rPr>
              <w:rFonts w:eastAsiaTheme="minorEastAsia"/>
              <w:noProof/>
              <w:szCs w:val="22"/>
            </w:rPr>
          </w:pPr>
          <w:hyperlink w:anchor="_Toc152059003" w:history="1">
            <w:r w:rsidRPr="00BA2756">
              <w:rPr>
                <w:rStyle w:val="a9"/>
                <w:rFonts w:ascii="楷体" w:eastAsia="楷体" w:hAnsi="楷体"/>
                <w:b/>
                <w:noProof/>
              </w:rPr>
              <w:t>不锈钢：成本持续下移叠加需求不振，或延续偏弱震荡</w:t>
            </w:r>
          </w:hyperlink>
        </w:p>
        <w:p w:rsidR="002B294F" w:rsidRDefault="002B294F">
          <w:pPr>
            <w:pStyle w:val="23"/>
            <w:tabs>
              <w:tab w:val="right" w:leader="dot" w:pos="8296"/>
            </w:tabs>
            <w:rPr>
              <w:rFonts w:eastAsiaTheme="minorEastAsia"/>
              <w:noProof/>
              <w:szCs w:val="22"/>
            </w:rPr>
          </w:pPr>
          <w:hyperlink w:anchor="_Toc152059004" w:history="1">
            <w:r w:rsidRPr="00BA2756">
              <w:rPr>
                <w:rStyle w:val="a9"/>
                <w:rFonts w:ascii="楷体" w:eastAsia="楷体" w:hAnsi="楷体"/>
                <w:b/>
                <w:noProof/>
              </w:rPr>
              <w:t>工业硅：需求暂无起色，盘面承压下行</w:t>
            </w:r>
          </w:hyperlink>
        </w:p>
        <w:p w:rsidR="002B294F" w:rsidRDefault="002B294F">
          <w:pPr>
            <w:pStyle w:val="11"/>
            <w:tabs>
              <w:tab w:val="right" w:leader="dot" w:pos="8296"/>
            </w:tabs>
            <w:rPr>
              <w:rFonts w:eastAsiaTheme="minorEastAsia"/>
              <w:noProof/>
              <w:szCs w:val="22"/>
            </w:rPr>
          </w:pPr>
          <w:hyperlink w:anchor="_Toc152059005" w:history="1">
            <w:r w:rsidRPr="00BA2756">
              <w:rPr>
                <w:rStyle w:val="a9"/>
                <w:rFonts w:ascii="Times New Roman" w:eastAsia="楷体" w:hAnsi="Times New Roman"/>
                <w:b/>
                <w:noProof/>
              </w:rPr>
              <w:t>[</w:t>
            </w:r>
            <w:r w:rsidRPr="00BA2756">
              <w:rPr>
                <w:rStyle w:val="a9"/>
                <w:rFonts w:ascii="Times New Roman" w:eastAsia="楷体" w:hAnsi="Times New Roman"/>
                <w:b/>
                <w:noProof/>
              </w:rPr>
              <w:t>化工</w:t>
            </w:r>
            <w:r w:rsidRPr="00BA2756">
              <w:rPr>
                <w:rStyle w:val="a9"/>
                <w:rFonts w:ascii="Times New Roman" w:eastAsia="楷体" w:hAnsi="Times New Roman"/>
                <w:b/>
                <w:noProof/>
              </w:rPr>
              <w:t>]</w:t>
            </w:r>
          </w:hyperlink>
        </w:p>
        <w:p w:rsidR="002B294F" w:rsidRDefault="002B294F">
          <w:pPr>
            <w:pStyle w:val="23"/>
            <w:tabs>
              <w:tab w:val="right" w:leader="dot" w:pos="8296"/>
            </w:tabs>
            <w:rPr>
              <w:rFonts w:eastAsiaTheme="minorEastAsia"/>
              <w:noProof/>
              <w:szCs w:val="22"/>
            </w:rPr>
          </w:pPr>
          <w:hyperlink w:anchor="_Toc152059006" w:history="1">
            <w:r w:rsidRPr="00BA2756">
              <w:rPr>
                <w:rStyle w:val="a9"/>
                <w:rFonts w:ascii="Times New Roman" w:eastAsia="楷体" w:hAnsi="Times New Roman"/>
                <w:b/>
                <w:noProof/>
              </w:rPr>
              <w:t>天然橡胶</w:t>
            </w:r>
            <w:r w:rsidRPr="00BA2756">
              <w:rPr>
                <w:rStyle w:val="a9"/>
                <w:rFonts w:ascii="Times New Roman" w:eastAsia="楷体" w:hAnsi="Times New Roman"/>
                <w:b/>
                <w:noProof/>
              </w:rPr>
              <w:t>:</w:t>
            </w:r>
            <w:r w:rsidRPr="00BA2756">
              <w:rPr>
                <w:rStyle w:val="a9"/>
                <w:rFonts w:ascii="楷体" w:eastAsia="楷体" w:hAnsi="楷体"/>
                <w:b/>
                <w:noProof/>
              </w:rPr>
              <w:t xml:space="preserve"> RU或下跌探底后回调整理</w:t>
            </w:r>
          </w:hyperlink>
        </w:p>
        <w:p w:rsidR="002B294F" w:rsidRDefault="002B294F">
          <w:pPr>
            <w:pStyle w:val="23"/>
            <w:tabs>
              <w:tab w:val="right" w:leader="dot" w:pos="8296"/>
            </w:tabs>
            <w:rPr>
              <w:rFonts w:eastAsiaTheme="minorEastAsia"/>
              <w:noProof/>
              <w:szCs w:val="22"/>
            </w:rPr>
          </w:pPr>
          <w:hyperlink w:anchor="_Toc152059007" w:history="1">
            <w:r w:rsidRPr="00BA2756">
              <w:rPr>
                <w:rStyle w:val="a9"/>
                <w:rFonts w:ascii="楷体" w:eastAsia="楷体" w:hAnsi="楷体"/>
                <w:b/>
                <w:noProof/>
              </w:rPr>
              <w:t>PTA：</w:t>
            </w:r>
            <w:r w:rsidRPr="00BA2756">
              <w:rPr>
                <w:rStyle w:val="a9"/>
                <w:rFonts w:ascii="Calibri" w:eastAsia="楷体" w:hAnsi="Calibri" w:cs="Calibri"/>
                <w:b/>
                <w:noProof/>
              </w:rPr>
              <w:t>供需矛盾不突出</w:t>
            </w:r>
            <w:r w:rsidRPr="00BA2756">
              <w:rPr>
                <w:rStyle w:val="a9"/>
                <w:rFonts w:ascii="Calibri" w:eastAsia="楷体" w:hAnsi="Calibri" w:cs="Calibri"/>
                <w:b/>
                <w:noProof/>
              </w:rPr>
              <w:t xml:space="preserve"> </w:t>
            </w:r>
            <w:r w:rsidRPr="00BA2756">
              <w:rPr>
                <w:rStyle w:val="a9"/>
                <w:rFonts w:ascii="Calibri" w:eastAsia="楷体" w:hAnsi="Calibri" w:cs="Calibri"/>
                <w:b/>
                <w:noProof/>
              </w:rPr>
              <w:t>短期调整</w:t>
            </w:r>
          </w:hyperlink>
        </w:p>
        <w:p w:rsidR="002B294F" w:rsidRDefault="002B294F">
          <w:pPr>
            <w:pStyle w:val="23"/>
            <w:tabs>
              <w:tab w:val="right" w:leader="dot" w:pos="8296"/>
            </w:tabs>
            <w:rPr>
              <w:rFonts w:eastAsiaTheme="minorEastAsia"/>
              <w:noProof/>
              <w:szCs w:val="22"/>
            </w:rPr>
          </w:pPr>
          <w:hyperlink w:anchor="_Toc152059008" w:history="1">
            <w:r w:rsidRPr="00BA2756">
              <w:rPr>
                <w:rStyle w:val="a9"/>
                <w:rFonts w:ascii="楷体" w:eastAsia="楷体" w:hAnsi="楷体"/>
                <w:b/>
                <w:noProof/>
              </w:rPr>
              <w:t>聚烯烃：需求季节性淡季叠加原油下跌 聚烯烃建议逢高做空</w:t>
            </w:r>
          </w:hyperlink>
        </w:p>
        <w:p w:rsidR="002B294F" w:rsidRDefault="002B294F">
          <w:pPr>
            <w:pStyle w:val="23"/>
            <w:tabs>
              <w:tab w:val="right" w:leader="dot" w:pos="8296"/>
            </w:tabs>
            <w:rPr>
              <w:rFonts w:eastAsiaTheme="minorEastAsia"/>
              <w:noProof/>
              <w:szCs w:val="22"/>
            </w:rPr>
          </w:pPr>
          <w:hyperlink w:anchor="_Toc152059009" w:history="1">
            <w:r w:rsidRPr="00BA2756">
              <w:rPr>
                <w:rStyle w:val="a9"/>
                <w:rFonts w:ascii="楷体" w:eastAsia="楷体" w:hAnsi="楷体"/>
                <w:b/>
                <w:noProof/>
              </w:rPr>
              <w:t>MEG：关注低多机会</w:t>
            </w:r>
          </w:hyperlink>
        </w:p>
        <w:p w:rsidR="002B294F" w:rsidRDefault="002B294F">
          <w:pPr>
            <w:pStyle w:val="23"/>
            <w:tabs>
              <w:tab w:val="right" w:leader="dot" w:pos="8296"/>
            </w:tabs>
            <w:rPr>
              <w:rFonts w:eastAsiaTheme="minorEastAsia"/>
              <w:noProof/>
              <w:szCs w:val="22"/>
            </w:rPr>
          </w:pPr>
          <w:hyperlink w:anchor="_Toc152059010" w:history="1">
            <w:r w:rsidRPr="00BA2756">
              <w:rPr>
                <w:rStyle w:val="a9"/>
                <w:rFonts w:ascii="楷体" w:eastAsia="楷体" w:hAnsi="楷体"/>
                <w:b/>
                <w:noProof/>
              </w:rPr>
              <w:t>玻璃：基本面维持平衡，成本端继续涨价</w:t>
            </w:r>
          </w:hyperlink>
        </w:p>
        <w:p w:rsidR="002B294F" w:rsidRDefault="002B294F">
          <w:pPr>
            <w:pStyle w:val="23"/>
            <w:tabs>
              <w:tab w:val="right" w:leader="dot" w:pos="8296"/>
            </w:tabs>
            <w:rPr>
              <w:rFonts w:eastAsiaTheme="minorEastAsia"/>
              <w:noProof/>
              <w:szCs w:val="22"/>
            </w:rPr>
          </w:pPr>
          <w:hyperlink w:anchor="_Toc152059011" w:history="1">
            <w:r w:rsidRPr="00BA2756">
              <w:rPr>
                <w:rStyle w:val="a9"/>
                <w:rFonts w:ascii="楷体" w:eastAsia="楷体" w:hAnsi="楷体"/>
                <w:b/>
                <w:noProof/>
              </w:rPr>
              <w:t>纯碱：现货维持高价，向上收敛基差</w:t>
            </w:r>
          </w:hyperlink>
        </w:p>
        <w:p w:rsidR="002B294F" w:rsidRDefault="002B294F">
          <w:pPr>
            <w:pStyle w:val="11"/>
            <w:tabs>
              <w:tab w:val="right" w:leader="dot" w:pos="8296"/>
            </w:tabs>
            <w:rPr>
              <w:rFonts w:eastAsiaTheme="minorEastAsia"/>
              <w:noProof/>
              <w:szCs w:val="22"/>
            </w:rPr>
          </w:pPr>
          <w:hyperlink w:anchor="_Toc152059012" w:history="1">
            <w:r w:rsidRPr="00BA2756">
              <w:rPr>
                <w:rStyle w:val="a9"/>
                <w:rFonts w:ascii="Times New Roman" w:eastAsia="楷体" w:hAnsi="Times New Roman"/>
                <w:b/>
                <w:noProof/>
              </w:rPr>
              <w:t>[</w:t>
            </w:r>
            <w:r w:rsidRPr="00BA2756">
              <w:rPr>
                <w:rStyle w:val="a9"/>
                <w:rFonts w:ascii="Times New Roman" w:eastAsia="楷体" w:hAnsi="Times New Roman"/>
                <w:b/>
                <w:noProof/>
              </w:rPr>
              <w:t>农产品</w:t>
            </w:r>
            <w:r w:rsidRPr="00BA2756">
              <w:rPr>
                <w:rStyle w:val="a9"/>
                <w:rFonts w:ascii="Times New Roman" w:eastAsia="楷体" w:hAnsi="Times New Roman"/>
                <w:b/>
                <w:noProof/>
              </w:rPr>
              <w:t>]</w:t>
            </w:r>
          </w:hyperlink>
        </w:p>
        <w:p w:rsidR="002B294F" w:rsidRDefault="002B294F">
          <w:pPr>
            <w:pStyle w:val="23"/>
            <w:tabs>
              <w:tab w:val="right" w:leader="dot" w:pos="8296"/>
            </w:tabs>
            <w:rPr>
              <w:rFonts w:eastAsiaTheme="minorEastAsia"/>
              <w:noProof/>
              <w:szCs w:val="22"/>
            </w:rPr>
          </w:pPr>
          <w:hyperlink w:anchor="_Toc152059013" w:history="1">
            <w:r w:rsidRPr="00BA2756">
              <w:rPr>
                <w:rStyle w:val="a9"/>
                <w:rFonts w:ascii="楷体" w:eastAsia="楷体" w:hAnsi="楷体"/>
                <w:b/>
                <w:noProof/>
              </w:rPr>
              <w:t>豆粕/菜粕：美豆持续收低，两粕偏弱震荡</w:t>
            </w:r>
          </w:hyperlink>
        </w:p>
        <w:p w:rsidR="002B294F" w:rsidRDefault="002B294F">
          <w:pPr>
            <w:pStyle w:val="23"/>
            <w:tabs>
              <w:tab w:val="right" w:leader="dot" w:pos="8296"/>
            </w:tabs>
            <w:rPr>
              <w:rFonts w:eastAsiaTheme="minorEastAsia"/>
              <w:noProof/>
              <w:szCs w:val="22"/>
            </w:rPr>
          </w:pPr>
          <w:hyperlink w:anchor="_Toc152059014" w:history="1">
            <w:r w:rsidRPr="00BA2756">
              <w:rPr>
                <w:rStyle w:val="a9"/>
                <w:rFonts w:ascii="楷体" w:eastAsia="楷体" w:hAnsi="楷体"/>
                <w:b/>
                <w:noProof/>
              </w:rPr>
              <w:t>油脂：维持宽幅震荡，缺乏单边驱动</w:t>
            </w:r>
          </w:hyperlink>
        </w:p>
        <w:p w:rsidR="002B294F" w:rsidRDefault="002B294F">
          <w:pPr>
            <w:pStyle w:val="23"/>
            <w:tabs>
              <w:tab w:val="right" w:leader="dot" w:pos="8296"/>
            </w:tabs>
            <w:rPr>
              <w:rFonts w:eastAsiaTheme="minorEastAsia"/>
              <w:noProof/>
              <w:szCs w:val="22"/>
            </w:rPr>
          </w:pPr>
          <w:hyperlink w:anchor="_Toc152059015" w:history="1">
            <w:r w:rsidRPr="00BA2756">
              <w:rPr>
                <w:rStyle w:val="a9"/>
                <w:rFonts w:ascii="楷体" w:eastAsia="楷体" w:hAnsi="楷体"/>
                <w:b/>
                <w:bCs/>
                <w:noProof/>
              </w:rPr>
              <w:t>玉米与淀粉：</w:t>
            </w:r>
            <w:r w:rsidRPr="00BA2756">
              <w:rPr>
                <w:rStyle w:val="a9"/>
                <w:rFonts w:ascii="楷体" w:eastAsia="楷体" w:hAnsi="楷体"/>
                <w:b/>
                <w:noProof/>
              </w:rPr>
              <w:t>期价延续弱势</w:t>
            </w:r>
          </w:hyperlink>
        </w:p>
        <w:p w:rsidR="002B294F" w:rsidRDefault="002B294F">
          <w:pPr>
            <w:pStyle w:val="23"/>
            <w:tabs>
              <w:tab w:val="right" w:leader="dot" w:pos="8296"/>
            </w:tabs>
            <w:rPr>
              <w:rFonts w:eastAsiaTheme="minorEastAsia"/>
              <w:noProof/>
              <w:szCs w:val="22"/>
            </w:rPr>
          </w:pPr>
          <w:hyperlink w:anchor="_Toc152059016" w:history="1">
            <w:r w:rsidRPr="00BA2756">
              <w:rPr>
                <w:rStyle w:val="a9"/>
                <w:rFonts w:ascii="楷体" w:eastAsia="楷体" w:hAnsi="楷体"/>
                <w:b/>
                <w:bCs/>
                <w:noProof/>
              </w:rPr>
              <w:t>畜禽养殖：现货带动生猪期价继续下跌</w:t>
            </w:r>
          </w:hyperlink>
        </w:p>
        <w:p w:rsidR="002B294F" w:rsidRDefault="002B294F">
          <w:pPr>
            <w:pStyle w:val="23"/>
            <w:tabs>
              <w:tab w:val="right" w:leader="dot" w:pos="8296"/>
            </w:tabs>
            <w:rPr>
              <w:rFonts w:eastAsiaTheme="minorEastAsia"/>
              <w:noProof/>
              <w:szCs w:val="22"/>
            </w:rPr>
          </w:pPr>
          <w:hyperlink w:anchor="_Toc152059017" w:history="1">
            <w:r w:rsidRPr="00BA2756">
              <w:rPr>
                <w:rStyle w:val="a9"/>
                <w:rFonts w:ascii="楷体" w:eastAsia="楷体" w:hAnsi="楷体"/>
                <w:b/>
                <w:noProof/>
              </w:rPr>
              <w:t>郑棉：震荡偏弱，试探1.5关口支撑。观望等待重新高抛机会</w:t>
            </w:r>
          </w:hyperlink>
        </w:p>
        <w:p w:rsidR="002B294F" w:rsidRDefault="002B294F">
          <w:pPr>
            <w:pStyle w:val="23"/>
            <w:tabs>
              <w:tab w:val="right" w:leader="dot" w:pos="8296"/>
            </w:tabs>
            <w:rPr>
              <w:rFonts w:eastAsiaTheme="minorEastAsia"/>
              <w:noProof/>
              <w:szCs w:val="22"/>
            </w:rPr>
          </w:pPr>
          <w:hyperlink w:anchor="_Toc152059018" w:history="1">
            <w:r w:rsidRPr="00BA2756">
              <w:rPr>
                <w:rStyle w:val="a9"/>
                <w:rFonts w:ascii="楷体" w:eastAsia="楷体" w:hAnsi="楷体"/>
                <w:b/>
                <w:noProof/>
              </w:rPr>
              <w:t>白糖：区间弱势震荡，暂且观望</w:t>
            </w:r>
          </w:hyperlink>
        </w:p>
        <w:p w:rsidR="002B294F" w:rsidRDefault="002B294F">
          <w:pPr>
            <w:pStyle w:val="11"/>
            <w:tabs>
              <w:tab w:val="right" w:leader="dot" w:pos="8296"/>
            </w:tabs>
            <w:rPr>
              <w:rFonts w:eastAsiaTheme="minorEastAsia"/>
              <w:noProof/>
              <w:szCs w:val="22"/>
            </w:rPr>
          </w:pPr>
          <w:hyperlink w:anchor="_Toc152059019" w:history="1">
            <w:r w:rsidRPr="00BA2756">
              <w:rPr>
                <w:rStyle w:val="a9"/>
                <w:rFonts w:ascii="Times New Roman" w:eastAsia="楷体" w:hAnsi="Times New Roman"/>
                <w:b/>
                <w:noProof/>
              </w:rPr>
              <w:t>[</w:t>
            </w:r>
            <w:r w:rsidRPr="00BA2756">
              <w:rPr>
                <w:rStyle w:val="a9"/>
                <w:rFonts w:ascii="Times New Roman" w:eastAsia="楷体" w:hAnsi="Times New Roman"/>
                <w:b/>
                <w:noProof/>
              </w:rPr>
              <w:t>指数</w:t>
            </w:r>
            <w:r w:rsidRPr="00BA2756">
              <w:rPr>
                <w:rStyle w:val="a9"/>
                <w:rFonts w:ascii="Times New Roman" w:eastAsia="楷体" w:hAnsi="Times New Roman"/>
                <w:b/>
                <w:noProof/>
              </w:rPr>
              <w:t>]</w:t>
            </w:r>
          </w:hyperlink>
        </w:p>
        <w:p w:rsidR="002B294F" w:rsidRDefault="002B294F">
          <w:pPr>
            <w:pStyle w:val="23"/>
            <w:tabs>
              <w:tab w:val="right" w:leader="dot" w:pos="8296"/>
            </w:tabs>
            <w:rPr>
              <w:rFonts w:eastAsiaTheme="minorEastAsia"/>
              <w:noProof/>
              <w:szCs w:val="22"/>
            </w:rPr>
          </w:pPr>
          <w:hyperlink w:anchor="_Toc152059020" w:history="1">
            <w:r w:rsidRPr="00BA2756">
              <w:rPr>
                <w:rStyle w:val="a9"/>
                <w:rFonts w:ascii="Times New Roman" w:eastAsia="楷体" w:hAnsi="Times New Roman"/>
                <w:b/>
                <w:noProof/>
              </w:rPr>
              <w:t>集运指数（欧线）：</w:t>
            </w:r>
            <w:r w:rsidRPr="00BA2756">
              <w:rPr>
                <w:rStyle w:val="a9"/>
                <w:rFonts w:ascii="Times New Roman" w:eastAsia="楷体" w:hAnsi="Times New Roman"/>
                <w:b/>
                <w:noProof/>
              </w:rPr>
              <w:t>SCFIS</w:t>
            </w:r>
            <w:r w:rsidRPr="00BA2756">
              <w:rPr>
                <w:rStyle w:val="a9"/>
                <w:rFonts w:ascii="Times New Roman" w:eastAsia="楷体" w:hAnsi="Times New Roman"/>
                <w:b/>
                <w:noProof/>
              </w:rPr>
              <w:t>回落符合现实预期，进入新一轮涨价期</w:t>
            </w:r>
          </w:hyperlink>
        </w:p>
        <w:p w:rsidR="003F56A5" w:rsidRPr="00152664" w:rsidRDefault="00CC3FFA" w:rsidP="00152664">
          <w:pPr>
            <w:pStyle w:val="11"/>
            <w:tabs>
              <w:tab w:val="right" w:leader="dot" w:pos="8296"/>
            </w:tabs>
            <w:rPr>
              <w:rFonts w:eastAsiaTheme="minorEastAsia"/>
              <w:noProof/>
              <w:szCs w:val="22"/>
            </w:rPr>
          </w:pPr>
          <w:r>
            <w:rPr>
              <w:bCs/>
            </w:rPr>
            <w:fldChar w:fldCharType="end"/>
          </w:r>
          <w:r w:rsidR="00152664">
            <w:rPr>
              <w:rFonts w:eastAsiaTheme="minorEastAsia"/>
              <w:noProof/>
              <w:szCs w:val="22"/>
            </w:rPr>
            <w:t xml:space="preserve"> </w:t>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52058989"/>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52058990"/>
      <w:bookmarkEnd w:id="4"/>
      <w:r>
        <w:rPr>
          <w:rFonts w:ascii="Times New Roman" w:eastAsia="楷体" w:hAnsi="Times New Roman" w:hint="eastAsia"/>
          <w:b/>
          <w:color w:val="000000" w:themeColor="text1"/>
          <w:sz w:val="24"/>
          <w:szCs w:val="24"/>
        </w:rPr>
        <w:t>股指：</w:t>
      </w:r>
      <w:bookmarkEnd w:id="6"/>
      <w:bookmarkEnd w:id="7"/>
      <w:r w:rsidR="002B294F" w:rsidRPr="002B294F">
        <w:rPr>
          <w:rFonts w:ascii="Times New Roman" w:eastAsia="楷体" w:hAnsi="Times New Roman" w:hint="eastAsia"/>
          <w:b/>
          <w:color w:val="000000" w:themeColor="text1"/>
          <w:sz w:val="24"/>
          <w:szCs w:val="24"/>
        </w:rPr>
        <w:t>短线切勿追高，若有可观回踩，可逢低布局多单</w:t>
      </w:r>
      <w:bookmarkEnd w:id="8"/>
    </w:p>
    <w:p w:rsidR="002B294F" w:rsidRPr="002B294F" w:rsidRDefault="002B294F" w:rsidP="002B294F">
      <w:pPr>
        <w:ind w:leftChars="300" w:left="630"/>
        <w:rPr>
          <w:rFonts w:ascii="Times New Roman" w:eastAsia="楷体" w:hAnsi="Times New Roman" w:hint="eastAsia"/>
          <w:color w:val="000000" w:themeColor="text1"/>
          <w:sz w:val="24"/>
          <w:szCs w:val="24"/>
        </w:rPr>
      </w:pPr>
      <w:r w:rsidRPr="002B294F">
        <w:rPr>
          <w:rFonts w:ascii="Times New Roman" w:eastAsia="楷体" w:hAnsi="Times New Roman" w:hint="eastAsia"/>
          <w:color w:val="000000" w:themeColor="text1"/>
          <w:sz w:val="24"/>
          <w:szCs w:val="24"/>
        </w:rPr>
        <w:t>央行披露三季度货币政策执行报告，提出落实好房地产“金融</w:t>
      </w:r>
      <w:r w:rsidRPr="002B294F">
        <w:rPr>
          <w:rFonts w:ascii="Times New Roman" w:eastAsia="楷体" w:hAnsi="Times New Roman" w:hint="eastAsia"/>
          <w:color w:val="000000" w:themeColor="text1"/>
          <w:sz w:val="24"/>
          <w:szCs w:val="24"/>
        </w:rPr>
        <w:t>16</w:t>
      </w:r>
      <w:r w:rsidRPr="002B294F">
        <w:rPr>
          <w:rFonts w:ascii="Times New Roman" w:eastAsia="楷体" w:hAnsi="Times New Roman" w:hint="eastAsia"/>
          <w:color w:val="000000" w:themeColor="text1"/>
          <w:sz w:val="24"/>
          <w:szCs w:val="24"/>
        </w:rPr>
        <w:t>条”，加大对城中村改造、“平急两用”公共基础设施建设、保障性住房建设等金融支持力度。其中专栏中提及加强货币与财政的协同、金融赋能助力民营经济，宽财政背景下，不排除央行降准释放流动性的可能，资金面无需担忧收集风险。</w:t>
      </w:r>
    </w:p>
    <w:p w:rsidR="003F56A5" w:rsidRDefault="002B294F" w:rsidP="002B294F">
      <w:pPr>
        <w:ind w:leftChars="300" w:left="630"/>
        <w:rPr>
          <w:rFonts w:ascii="Times New Roman" w:eastAsia="楷体" w:hAnsi="Times New Roman"/>
          <w:color w:val="000000" w:themeColor="text1"/>
          <w:sz w:val="24"/>
          <w:szCs w:val="24"/>
        </w:rPr>
      </w:pPr>
      <w:r w:rsidRPr="002B294F">
        <w:rPr>
          <w:rFonts w:ascii="Times New Roman" w:eastAsia="楷体" w:hAnsi="Times New Roman" w:hint="eastAsia"/>
          <w:color w:val="000000" w:themeColor="text1"/>
          <w:sz w:val="24"/>
          <w:szCs w:val="24"/>
        </w:rPr>
        <w:t>对于</w:t>
      </w:r>
      <w:r w:rsidRPr="002B294F">
        <w:rPr>
          <w:rFonts w:ascii="Times New Roman" w:eastAsia="楷体" w:hAnsi="Times New Roman" w:hint="eastAsia"/>
          <w:color w:val="000000" w:themeColor="text1"/>
          <w:sz w:val="24"/>
          <w:szCs w:val="24"/>
        </w:rPr>
        <w:t>A</w:t>
      </w:r>
      <w:r w:rsidRPr="002B294F">
        <w:rPr>
          <w:rFonts w:ascii="Times New Roman" w:eastAsia="楷体" w:hAnsi="Times New Roman" w:hint="eastAsia"/>
          <w:color w:val="000000" w:themeColor="text1"/>
          <w:sz w:val="24"/>
          <w:szCs w:val="24"/>
        </w:rPr>
        <w:t>股，前期利好计划趋于充分，市场缺乏新增利好，存量环境下暂不具备趋势反弹的基础。关注年底基金业绩博弈，加之弱市环境或存在政策或事件再刺激，短期时间窗口，后续稳增长政策仍可以期待，或构成后续行情动力的重要来源。技术面上，短线处于</w:t>
      </w:r>
      <w:r w:rsidRPr="002B294F">
        <w:rPr>
          <w:rFonts w:ascii="Times New Roman" w:eastAsia="楷体" w:hAnsi="Times New Roman" w:hint="eastAsia"/>
          <w:color w:val="000000" w:themeColor="text1"/>
          <w:sz w:val="24"/>
          <w:szCs w:val="24"/>
        </w:rPr>
        <w:t>60min</w:t>
      </w:r>
      <w:r w:rsidRPr="002B294F">
        <w:rPr>
          <w:rFonts w:ascii="Times New Roman" w:eastAsia="楷体" w:hAnsi="Times New Roman" w:hint="eastAsia"/>
          <w:color w:val="000000" w:themeColor="text1"/>
          <w:sz w:val="24"/>
          <w:szCs w:val="24"/>
        </w:rPr>
        <w:t>级别二浪回调中，关注回调企稳信号，可短线试多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52058991"/>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52058992"/>
      <w:r>
        <w:rPr>
          <w:rFonts w:ascii="Times New Roman" w:eastAsia="楷体" w:hAnsi="Times New Roman" w:hint="eastAsia"/>
          <w:b/>
          <w:color w:val="000000" w:themeColor="text1"/>
          <w:sz w:val="24"/>
          <w:szCs w:val="24"/>
        </w:rPr>
        <w:t>贵金属：</w:t>
      </w:r>
      <w:r w:rsidR="002B294F" w:rsidRPr="002B294F">
        <w:rPr>
          <w:rFonts w:ascii="Times New Roman" w:eastAsia="楷体" w:hAnsi="Times New Roman" w:hint="eastAsia"/>
          <w:b/>
          <w:color w:val="000000" w:themeColor="text1"/>
          <w:sz w:val="24"/>
          <w:szCs w:val="24"/>
        </w:rPr>
        <w:t>欧央行行长提示暂停加息，内盘贵金属价格反弹</w:t>
      </w:r>
      <w:bookmarkEnd w:id="10"/>
    </w:p>
    <w:p w:rsidR="003F56A5" w:rsidRDefault="002B294F">
      <w:pPr>
        <w:ind w:leftChars="300" w:left="630"/>
        <w:rPr>
          <w:rFonts w:ascii="Times New Roman" w:eastAsia="楷体" w:hAnsi="Times New Roman"/>
          <w:sz w:val="24"/>
          <w:szCs w:val="24"/>
        </w:rPr>
      </w:pPr>
      <w:r w:rsidRPr="002B294F">
        <w:rPr>
          <w:rFonts w:ascii="Times New Roman" w:eastAsia="楷体" w:hAnsi="Times New Roman" w:hint="eastAsia"/>
          <w:color w:val="000000" w:themeColor="text1"/>
          <w:sz w:val="24"/>
          <w:szCs w:val="24"/>
        </w:rPr>
        <w:t>美元指数下跌</w:t>
      </w:r>
      <w:r w:rsidRPr="002B294F">
        <w:rPr>
          <w:rFonts w:ascii="Times New Roman" w:eastAsia="楷体" w:hAnsi="Times New Roman" w:hint="eastAsia"/>
          <w:color w:val="000000" w:themeColor="text1"/>
          <w:sz w:val="24"/>
          <w:szCs w:val="24"/>
        </w:rPr>
        <w:t>0.21%</w:t>
      </w:r>
      <w:r w:rsidRPr="002B294F">
        <w:rPr>
          <w:rFonts w:ascii="Times New Roman" w:eastAsia="楷体" w:hAnsi="Times New Roman" w:hint="eastAsia"/>
          <w:color w:val="000000" w:themeColor="text1"/>
          <w:sz w:val="24"/>
          <w:szCs w:val="24"/>
        </w:rPr>
        <w:t>至</w:t>
      </w:r>
      <w:r w:rsidRPr="002B294F">
        <w:rPr>
          <w:rFonts w:ascii="Times New Roman" w:eastAsia="楷体" w:hAnsi="Times New Roman" w:hint="eastAsia"/>
          <w:color w:val="000000" w:themeColor="text1"/>
          <w:sz w:val="24"/>
          <w:szCs w:val="24"/>
        </w:rPr>
        <w:t>103.22</w:t>
      </w:r>
      <w:r w:rsidRPr="002B294F">
        <w:rPr>
          <w:rFonts w:ascii="Times New Roman" w:eastAsia="楷体" w:hAnsi="Times New Roman" w:hint="eastAsia"/>
          <w:color w:val="000000" w:themeColor="text1"/>
          <w:sz w:val="24"/>
          <w:szCs w:val="24"/>
        </w:rPr>
        <w:t>；美十债收益率下跌</w:t>
      </w:r>
      <w:r w:rsidRPr="002B294F">
        <w:rPr>
          <w:rFonts w:ascii="Times New Roman" w:eastAsia="楷体" w:hAnsi="Times New Roman" w:hint="eastAsia"/>
          <w:color w:val="000000" w:themeColor="text1"/>
          <w:sz w:val="24"/>
          <w:szCs w:val="24"/>
        </w:rPr>
        <w:t>7.9bp</w:t>
      </w:r>
      <w:r w:rsidRPr="002B294F">
        <w:rPr>
          <w:rFonts w:ascii="Times New Roman" w:eastAsia="楷体" w:hAnsi="Times New Roman" w:hint="eastAsia"/>
          <w:color w:val="000000" w:themeColor="text1"/>
          <w:sz w:val="24"/>
          <w:szCs w:val="24"/>
        </w:rPr>
        <w:t>至</w:t>
      </w:r>
      <w:r w:rsidRPr="002B294F">
        <w:rPr>
          <w:rFonts w:ascii="Times New Roman" w:eastAsia="楷体" w:hAnsi="Times New Roman" w:hint="eastAsia"/>
          <w:color w:val="000000" w:themeColor="text1"/>
          <w:sz w:val="24"/>
          <w:szCs w:val="24"/>
        </w:rPr>
        <w:t>4.393%</w:t>
      </w:r>
      <w:r w:rsidRPr="002B294F">
        <w:rPr>
          <w:rFonts w:ascii="Times New Roman" w:eastAsia="楷体" w:hAnsi="Times New Roman" w:hint="eastAsia"/>
          <w:color w:val="000000" w:themeColor="text1"/>
          <w:sz w:val="24"/>
          <w:szCs w:val="24"/>
        </w:rPr>
        <w:t>，沪金涨</w:t>
      </w:r>
      <w:r w:rsidRPr="002B294F">
        <w:rPr>
          <w:rFonts w:ascii="Times New Roman" w:eastAsia="楷体" w:hAnsi="Times New Roman" w:hint="eastAsia"/>
          <w:color w:val="000000" w:themeColor="text1"/>
          <w:sz w:val="24"/>
          <w:szCs w:val="24"/>
        </w:rPr>
        <w:t>0.59%</w:t>
      </w:r>
      <w:r w:rsidRPr="002B294F">
        <w:rPr>
          <w:rFonts w:ascii="Times New Roman" w:eastAsia="楷体" w:hAnsi="Times New Roman" w:hint="eastAsia"/>
          <w:color w:val="000000" w:themeColor="text1"/>
          <w:sz w:val="24"/>
          <w:szCs w:val="24"/>
        </w:rPr>
        <w:t>，沪银涨</w:t>
      </w:r>
      <w:r w:rsidRPr="002B294F">
        <w:rPr>
          <w:rFonts w:ascii="Times New Roman" w:eastAsia="楷体" w:hAnsi="Times New Roman" w:hint="eastAsia"/>
          <w:color w:val="000000" w:themeColor="text1"/>
          <w:sz w:val="24"/>
          <w:szCs w:val="24"/>
        </w:rPr>
        <w:t>1.79%</w:t>
      </w:r>
      <w:r w:rsidRPr="002B294F">
        <w:rPr>
          <w:rFonts w:ascii="Times New Roman" w:eastAsia="楷体" w:hAnsi="Times New Roman" w:hint="eastAsia"/>
          <w:color w:val="000000" w:themeColor="text1"/>
          <w:sz w:val="24"/>
          <w:szCs w:val="24"/>
        </w:rPr>
        <w:t>。欧央行拉加德称，可以暂时停止加息以评估紧缩政策影响，可能很快将重新审查</w:t>
      </w:r>
      <w:r w:rsidRPr="002B294F">
        <w:rPr>
          <w:rFonts w:ascii="Times New Roman" w:eastAsia="楷体" w:hAnsi="Times New Roman" w:hint="eastAsia"/>
          <w:color w:val="000000" w:themeColor="text1"/>
          <w:sz w:val="24"/>
          <w:szCs w:val="24"/>
        </w:rPr>
        <w:t>PEPP</w:t>
      </w:r>
      <w:r w:rsidRPr="002B294F">
        <w:rPr>
          <w:rFonts w:ascii="Times New Roman" w:eastAsia="楷体" w:hAnsi="Times New Roman" w:hint="eastAsia"/>
          <w:color w:val="000000" w:themeColor="text1"/>
          <w:sz w:val="24"/>
          <w:szCs w:val="24"/>
        </w:rPr>
        <w:t>再投资计划。英央行行长贝利表示，不太可能降息，抗通胀进展或相对缓慢。美联储政策利率接近终值，美国经济增长趋弱、景气度下滑，中长线角度看好贵金属价格表现，建议沪金、沪银逢低做多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52058993"/>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52058994"/>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2B294F" w:rsidRPr="002B294F">
        <w:rPr>
          <w:rFonts w:ascii="楷体" w:eastAsia="楷体" w:hAnsi="楷体" w:hint="eastAsia"/>
          <w:b/>
          <w:color w:val="000000" w:themeColor="text1"/>
          <w:sz w:val="24"/>
          <w:szCs w:val="24"/>
        </w:rPr>
        <w:t>盐湖企业或计划放货，期价续创新低</w:t>
      </w:r>
      <w:bookmarkEnd w:id="18"/>
    </w:p>
    <w:p w:rsidR="00F50569" w:rsidRDefault="002B294F" w:rsidP="00F50569">
      <w:pPr>
        <w:ind w:leftChars="300" w:left="630"/>
        <w:rPr>
          <w:rFonts w:ascii="楷体" w:eastAsia="楷体" w:hAnsi="楷体"/>
          <w:color w:val="000000" w:themeColor="text1"/>
          <w:sz w:val="24"/>
          <w:szCs w:val="24"/>
        </w:rPr>
      </w:pPr>
      <w:r w:rsidRPr="002B294F">
        <w:rPr>
          <w:rFonts w:ascii="楷体" w:eastAsia="楷体" w:hAnsi="楷体" w:hint="eastAsia"/>
          <w:color w:val="000000" w:themeColor="text1"/>
          <w:sz w:val="24"/>
          <w:szCs w:val="24"/>
        </w:rPr>
        <w:t>现货价格进一步下跌，昨日期价接近全线跌停，01合约收跌近7%报116650元/吨。此前我们提示关注10万元/吨附近整数关口支撑，近期品种逻辑不变，随着锂矿价格下跌，外采矿石提锂成本进一步下移。近期部分贸易商低价抛货，蓝科锂业等盐湖生产企业或计划后续放货，由于盐湖提锂生产成本较低，年末回款需求或一定程度上提升其出货意愿，受此影响市场延续看空情绪，下游需求维持疲弱，后市期价震荡中枢或进一步下行，建议思路维持逢高空</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52058995"/>
      <w:r>
        <w:rPr>
          <w:rFonts w:ascii="楷体" w:eastAsia="楷体" w:hAnsi="楷体" w:hint="eastAsia"/>
          <w:b/>
          <w:color w:val="000000" w:themeColor="text1"/>
          <w:sz w:val="24"/>
          <w:szCs w:val="24"/>
        </w:rPr>
        <w:t>螺纹钢：</w:t>
      </w:r>
      <w:bookmarkEnd w:id="16"/>
      <w:bookmarkEnd w:id="17"/>
      <w:r w:rsidR="00620BEB" w:rsidRPr="00620BEB">
        <w:rPr>
          <w:rFonts w:ascii="楷体" w:eastAsia="楷体" w:hAnsi="楷体" w:hint="eastAsia"/>
          <w:b/>
          <w:color w:val="000000" w:themeColor="text1"/>
          <w:sz w:val="24"/>
          <w:szCs w:val="24"/>
        </w:rPr>
        <w:t>低库存强预期，高位震荡调整</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620BEB" w:rsidP="00201944">
      <w:pPr>
        <w:ind w:leftChars="300" w:left="630"/>
        <w:rPr>
          <w:rFonts w:ascii="楷体" w:eastAsia="楷体" w:hAnsi="楷体"/>
          <w:color w:val="000000" w:themeColor="text1"/>
          <w:sz w:val="24"/>
          <w:szCs w:val="24"/>
        </w:rPr>
      </w:pPr>
      <w:r w:rsidRPr="00620BEB">
        <w:rPr>
          <w:rFonts w:ascii="楷体" w:eastAsia="楷体" w:hAnsi="楷体" w:hint="eastAsia"/>
          <w:color w:val="000000" w:themeColor="text1"/>
          <w:sz w:val="24"/>
          <w:szCs w:val="24"/>
        </w:rPr>
        <w:t>市场宏观预期较强，市场对未来总需求预期较为乐观。当前需求有所下滑或导致后续缓慢累库，短期情绪及基本面环比走弱，现货遇上压力下盘面调整，等待企稳</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52058996"/>
      <w:r>
        <w:rPr>
          <w:rFonts w:ascii="楷体" w:eastAsia="楷体" w:hAnsi="楷体" w:hint="eastAsia"/>
          <w:b/>
          <w:color w:val="000000" w:themeColor="text1"/>
          <w:sz w:val="24"/>
          <w:szCs w:val="24"/>
        </w:rPr>
        <w:t>焦炭：</w:t>
      </w:r>
      <w:bookmarkEnd w:id="20"/>
      <w:bookmarkEnd w:id="21"/>
      <w:r w:rsidR="00620BEB" w:rsidRPr="00620BEB">
        <w:rPr>
          <w:rFonts w:ascii="楷体" w:eastAsia="楷体" w:hAnsi="楷体" w:hint="eastAsia"/>
          <w:b/>
          <w:color w:val="000000" w:themeColor="text1"/>
          <w:sz w:val="24"/>
          <w:szCs w:val="24"/>
        </w:rPr>
        <w:t>第二轮提涨提出，盘面估值过快高震荡调整</w:t>
      </w:r>
      <w:bookmarkEnd w:id="22"/>
    </w:p>
    <w:p w:rsidR="003F56A5" w:rsidRDefault="00620BEB" w:rsidP="00572E35">
      <w:pPr>
        <w:ind w:leftChars="300" w:left="630"/>
        <w:rPr>
          <w:rFonts w:ascii="楷体" w:eastAsia="楷体" w:hAnsi="楷体"/>
          <w:color w:val="000000" w:themeColor="text1"/>
          <w:sz w:val="24"/>
          <w:szCs w:val="24"/>
        </w:rPr>
      </w:pPr>
      <w:r w:rsidRPr="00620BEB">
        <w:rPr>
          <w:rFonts w:ascii="楷体" w:eastAsia="楷体" w:hAnsi="楷体" w:hint="eastAsia"/>
          <w:color w:val="000000" w:themeColor="text1"/>
          <w:sz w:val="24"/>
          <w:szCs w:val="24"/>
        </w:rPr>
        <w:lastRenderedPageBreak/>
        <w:t>焦煤推动成本大幅度上行，成材矛盾不突出，盘面前高给出三轮提涨估值，下游利润接受程度不高，短期盘面或震荡调整</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52058997"/>
      <w:r>
        <w:rPr>
          <w:rFonts w:ascii="楷体" w:eastAsia="楷体" w:hAnsi="楷体" w:hint="eastAsia"/>
          <w:b/>
          <w:color w:val="000000" w:themeColor="text1"/>
          <w:sz w:val="24"/>
          <w:szCs w:val="24"/>
        </w:rPr>
        <w:t>焦煤：</w:t>
      </w:r>
      <w:r w:rsidR="00620BEB" w:rsidRPr="00620BEB">
        <w:rPr>
          <w:rFonts w:ascii="楷体" w:eastAsia="楷体" w:hAnsi="楷体" w:hint="eastAsia"/>
          <w:b/>
          <w:sz w:val="24"/>
          <w:szCs w:val="24"/>
        </w:rPr>
        <w:t>利多出尽下，盘面向下调整</w:t>
      </w:r>
      <w:bookmarkEnd w:id="23"/>
    </w:p>
    <w:p w:rsidR="003F56A5" w:rsidRDefault="00620BEB">
      <w:pPr>
        <w:ind w:leftChars="300" w:left="630"/>
        <w:rPr>
          <w:rFonts w:ascii="楷体" w:eastAsia="楷体" w:hAnsi="楷体"/>
          <w:bCs/>
          <w:sz w:val="24"/>
          <w:szCs w:val="24"/>
        </w:rPr>
      </w:pPr>
      <w:r w:rsidRPr="00620BEB">
        <w:rPr>
          <w:rFonts w:ascii="楷体" w:eastAsia="楷体" w:hAnsi="楷体" w:hint="eastAsia"/>
          <w:sz w:val="24"/>
          <w:szCs w:val="24"/>
        </w:rPr>
        <w:t>前期安全事故导致产量短期或出现一定减量，供应定价高点已现，主焦煤结构性问题支撑价格下限。现货进一步突破或需下游主动补库，短期下游成材价格遇上压力，煤价向下调整回归正常估值</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52058998"/>
      <w:r>
        <w:rPr>
          <w:rFonts w:ascii="楷体" w:eastAsia="楷体" w:hAnsi="楷体" w:hint="eastAsia"/>
          <w:b/>
          <w:color w:val="000000" w:themeColor="text1"/>
          <w:sz w:val="24"/>
          <w:szCs w:val="24"/>
        </w:rPr>
        <w:t>铜：</w:t>
      </w:r>
      <w:bookmarkEnd w:id="24"/>
      <w:bookmarkEnd w:id="25"/>
      <w:r w:rsidR="002B294F" w:rsidRPr="002B294F">
        <w:rPr>
          <w:rFonts w:ascii="楷体" w:eastAsia="楷体" w:hAnsi="楷体" w:hint="eastAsia"/>
          <w:b/>
          <w:color w:val="000000" w:themeColor="text1"/>
          <w:sz w:val="24"/>
          <w:szCs w:val="24"/>
        </w:rPr>
        <w:t>短期高位震荡为主</w:t>
      </w:r>
      <w:bookmarkEnd w:id="26"/>
    </w:p>
    <w:p w:rsidR="002B294F" w:rsidRPr="002B294F" w:rsidRDefault="002B294F" w:rsidP="002B294F">
      <w:pPr>
        <w:ind w:leftChars="300" w:left="630"/>
        <w:rPr>
          <w:rFonts w:ascii="楷体" w:eastAsia="楷体" w:hAnsi="楷体" w:hint="eastAsia"/>
          <w:color w:val="000000" w:themeColor="text1"/>
          <w:sz w:val="24"/>
          <w:szCs w:val="24"/>
        </w:rPr>
      </w:pPr>
      <w:r w:rsidRPr="002B294F">
        <w:rPr>
          <w:rFonts w:ascii="楷体" w:eastAsia="楷体" w:hAnsi="楷体" w:hint="eastAsia"/>
          <w:color w:val="000000" w:themeColor="text1"/>
          <w:sz w:val="24"/>
          <w:szCs w:val="24"/>
        </w:rPr>
        <w:t>(1)宏观：美国10月新屋销售环比跌5.6%，预期跌4.7%，前值下修；新屋售价的中位值40.93万美元，创2021年8月以来最低，同比大跌17.6%。</w:t>
      </w:r>
    </w:p>
    <w:p w:rsidR="002B294F" w:rsidRPr="002B294F" w:rsidRDefault="002B294F" w:rsidP="002B294F">
      <w:pPr>
        <w:ind w:leftChars="300" w:left="630"/>
        <w:rPr>
          <w:rFonts w:ascii="楷体" w:eastAsia="楷体" w:hAnsi="楷体" w:hint="eastAsia"/>
          <w:color w:val="000000" w:themeColor="text1"/>
          <w:sz w:val="24"/>
          <w:szCs w:val="24"/>
        </w:rPr>
      </w:pPr>
      <w:r w:rsidRPr="002B294F">
        <w:rPr>
          <w:rFonts w:ascii="楷体" w:eastAsia="楷体" w:hAnsi="楷体" w:hint="eastAsia"/>
          <w:color w:val="000000" w:themeColor="text1"/>
          <w:sz w:val="24"/>
          <w:szCs w:val="24"/>
        </w:rPr>
        <w:t>(2)库存：11月27日，SHFE仓单库存3453吨，持平；LME仓单库存177800吨，减725吨。</w:t>
      </w:r>
    </w:p>
    <w:p w:rsidR="002B294F" w:rsidRPr="002B294F" w:rsidRDefault="002B294F" w:rsidP="002B294F">
      <w:pPr>
        <w:ind w:leftChars="300" w:left="630"/>
        <w:rPr>
          <w:rFonts w:ascii="楷体" w:eastAsia="楷体" w:hAnsi="楷体" w:hint="eastAsia"/>
          <w:color w:val="000000" w:themeColor="text1"/>
          <w:sz w:val="24"/>
          <w:szCs w:val="24"/>
        </w:rPr>
      </w:pPr>
      <w:r w:rsidRPr="002B294F">
        <w:rPr>
          <w:rFonts w:ascii="楷体" w:eastAsia="楷体" w:hAnsi="楷体" w:hint="eastAsia"/>
          <w:color w:val="000000" w:themeColor="text1"/>
          <w:sz w:val="24"/>
          <w:szCs w:val="24"/>
        </w:rPr>
        <w:t>(3)精废价差：11月27日，Mysteel精废价差2050，扩张20。目前价差在合理价差1388之上。</w:t>
      </w:r>
    </w:p>
    <w:p w:rsidR="002B294F" w:rsidRPr="002B294F" w:rsidRDefault="002B294F" w:rsidP="002B294F">
      <w:pPr>
        <w:ind w:leftChars="300" w:left="630"/>
        <w:rPr>
          <w:rFonts w:ascii="楷体" w:eastAsia="楷体" w:hAnsi="楷体"/>
          <w:color w:val="000000" w:themeColor="text1"/>
          <w:sz w:val="24"/>
          <w:szCs w:val="24"/>
        </w:rPr>
      </w:pPr>
    </w:p>
    <w:p w:rsidR="00127803" w:rsidRPr="00127803" w:rsidRDefault="002B294F" w:rsidP="002B294F">
      <w:pPr>
        <w:ind w:leftChars="300" w:left="630"/>
        <w:rPr>
          <w:rFonts w:ascii="楷体" w:eastAsia="楷体" w:hAnsi="楷体"/>
          <w:color w:val="000000" w:themeColor="text1"/>
          <w:sz w:val="24"/>
          <w:szCs w:val="24"/>
        </w:rPr>
      </w:pPr>
      <w:r w:rsidRPr="002B294F">
        <w:rPr>
          <w:rFonts w:ascii="楷体" w:eastAsia="楷体" w:hAnsi="楷体" w:hint="eastAsia"/>
          <w:color w:val="000000" w:themeColor="text1"/>
          <w:sz w:val="24"/>
          <w:szCs w:val="24"/>
        </w:rPr>
        <w:t>综述：宏观面，美国11月Markit PMI数据表现疲软，10月新屋销售跌幅超预期，符合经济逐步走弱预期，美联储12月大概率维持利率不变，美元指数走软。国内经济数据表现分化，地产疲弱，近期地产政策又有进一步放松，但实际效果可能相对有限，更多起到拖底作用，整体宏观氛围偏中性；基本面，国内库存低位运行，现货升水坚挺，淡季累库预期仍未兑现，对价格压制有限，预计短期铜价高位震荡运行，2401合约参考67000-69000</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52058999"/>
      <w:r>
        <w:rPr>
          <w:rFonts w:ascii="楷体" w:eastAsia="楷体" w:hAnsi="楷体" w:hint="eastAsia"/>
          <w:b/>
          <w:color w:val="000000" w:themeColor="text1"/>
          <w:sz w:val="24"/>
          <w:szCs w:val="24"/>
        </w:rPr>
        <w:t>铝：</w:t>
      </w:r>
      <w:bookmarkEnd w:id="27"/>
      <w:bookmarkEnd w:id="28"/>
      <w:r w:rsidR="00D4554A" w:rsidRPr="00D4554A">
        <w:rPr>
          <w:rFonts w:ascii="楷体" w:eastAsia="楷体" w:hAnsi="楷体" w:hint="eastAsia"/>
          <w:b/>
          <w:color w:val="000000" w:themeColor="text1"/>
          <w:sz w:val="24"/>
          <w:szCs w:val="24"/>
        </w:rPr>
        <w:t>铝价维持区间偏弱震荡</w:t>
      </w:r>
      <w:bookmarkEnd w:id="29"/>
    </w:p>
    <w:p w:rsidR="003F56A5" w:rsidRDefault="00D4554A" w:rsidP="00127803">
      <w:pPr>
        <w:ind w:leftChars="300" w:left="630"/>
        <w:rPr>
          <w:rFonts w:ascii="楷体" w:eastAsia="楷体" w:hAnsi="楷体"/>
          <w:color w:val="000000" w:themeColor="text1"/>
          <w:sz w:val="24"/>
          <w:szCs w:val="24"/>
        </w:rPr>
      </w:pPr>
      <w:r w:rsidRPr="00D4554A">
        <w:rPr>
          <w:rFonts w:ascii="楷体" w:eastAsia="楷体" w:hAnsi="楷体" w:hint="eastAsia"/>
          <w:color w:val="000000" w:themeColor="text1"/>
          <w:sz w:val="24"/>
          <w:szCs w:val="24"/>
        </w:rPr>
        <w:t>加息节奏已进入尾声，美元指数走弱，为铝价带来支撑，实际海外经济衰退风险加剧，市场仍有悲观情绪，国内政策面持续释放利好。铝锭库存去库拐点已现，云南地区电解铝减产也逐步完成，国内运行产能减少至至4180万吨左右，进口窗口再度打开，进口端仍有补充。11月后进入淡季，下游的开工表现平淡，需求端维持弱态。整体上看，铝价或将维持高位区间震荡，参考区间18500-19300</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52059000"/>
      <w:r>
        <w:rPr>
          <w:rFonts w:ascii="楷体" w:eastAsia="楷体" w:hAnsi="楷体" w:hint="eastAsia"/>
          <w:b/>
          <w:color w:val="000000" w:themeColor="text1"/>
          <w:sz w:val="24"/>
          <w:szCs w:val="24"/>
        </w:rPr>
        <w:t>锌：</w:t>
      </w:r>
      <w:r w:rsidR="00D4554A" w:rsidRPr="00D4554A">
        <w:rPr>
          <w:rFonts w:ascii="楷体" w:eastAsia="楷体" w:hAnsi="楷体" w:hint="eastAsia"/>
          <w:b/>
          <w:color w:val="000000" w:themeColor="text1"/>
          <w:sz w:val="24"/>
          <w:szCs w:val="24"/>
        </w:rPr>
        <w:t>库存拐点出现带动价格上行，实际支撑较弱仍有向下可能</w:t>
      </w:r>
      <w:bookmarkEnd w:id="30"/>
    </w:p>
    <w:p w:rsidR="003F56A5" w:rsidRDefault="00D4554A" w:rsidP="000B0648">
      <w:pPr>
        <w:ind w:leftChars="300" w:left="630"/>
        <w:rPr>
          <w:rFonts w:ascii="楷体" w:eastAsia="楷体" w:hAnsi="楷体"/>
          <w:color w:val="000000" w:themeColor="text1"/>
          <w:sz w:val="24"/>
          <w:szCs w:val="24"/>
        </w:rPr>
      </w:pPr>
      <w:r w:rsidRPr="00D4554A">
        <w:rPr>
          <w:rFonts w:ascii="楷体" w:eastAsia="楷体" w:hAnsi="楷体" w:hint="eastAsia"/>
          <w:color w:val="000000" w:themeColor="text1"/>
          <w:sz w:val="24"/>
          <w:szCs w:val="24"/>
        </w:rPr>
        <w:t>LME库存小幅去库仍在20万吨以上，库存水平在近两年高位，海外隐性库存显性化，进口盈利窗口关闭，但前期海外订单陆续到货仍有补充，在国内供应高位的背景下，供应过剩预期增加，锌价近期反弹但仍有趋弱可能</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52059001"/>
      <w:r>
        <w:rPr>
          <w:rFonts w:ascii="楷体" w:eastAsia="楷体" w:hAnsi="楷体" w:hint="eastAsia"/>
          <w:b/>
          <w:color w:val="000000" w:themeColor="text1"/>
          <w:sz w:val="24"/>
          <w:szCs w:val="24"/>
        </w:rPr>
        <w:t>镍：</w:t>
      </w:r>
      <w:r w:rsidR="002B294F" w:rsidRPr="002B294F">
        <w:rPr>
          <w:rFonts w:ascii="楷体" w:eastAsia="楷体" w:hAnsi="楷体" w:hint="eastAsia"/>
          <w:b/>
          <w:color w:val="000000" w:themeColor="text1"/>
          <w:sz w:val="24"/>
          <w:szCs w:val="24"/>
        </w:rPr>
        <w:t>供增需弱格局下，镍价仍有下行空间</w:t>
      </w:r>
      <w:bookmarkEnd w:id="31"/>
    </w:p>
    <w:p w:rsidR="003F56A5" w:rsidRDefault="002B294F">
      <w:pPr>
        <w:ind w:leftChars="300" w:left="630"/>
        <w:rPr>
          <w:rFonts w:ascii="楷体" w:eastAsia="楷体" w:hAnsi="楷体"/>
          <w:color w:val="000000" w:themeColor="text1"/>
          <w:sz w:val="24"/>
          <w:szCs w:val="24"/>
        </w:rPr>
      </w:pPr>
      <w:r w:rsidRPr="002B294F">
        <w:rPr>
          <w:rFonts w:ascii="楷体" w:eastAsia="楷体" w:hAnsi="楷体" w:hint="eastAsia"/>
          <w:color w:val="000000" w:themeColor="text1"/>
          <w:sz w:val="24"/>
          <w:szCs w:val="24"/>
        </w:rPr>
        <w:t>供应过剩压力为镍价持续下跌的主逻辑，目前用MHP生产电积镍的一体化生产工艺仍有利润，尚未有精炼镍减产迹象，而需求在不锈钢减产和三元电池订单不佳的影响下趋弱，供需过剩矛盾持续压制镍价。此外，印尼MHP增量不断释放，MHP供应将逐渐宽松，为电积镍成本打开下跌空间，对镍价形成明显拖累。库存端，国内社库和LME库存不断回升，绝对低位库存支撑明显弱化。综合而言，供应过剩叠加成本下跌，短期内镍价仍有下行空间。持续关注成本变动和供应变化</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52059002"/>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52059003"/>
      <w:r>
        <w:rPr>
          <w:rFonts w:ascii="楷体" w:eastAsia="楷体" w:hAnsi="楷体" w:hint="eastAsia"/>
          <w:b/>
          <w:color w:val="000000" w:themeColor="text1"/>
          <w:sz w:val="24"/>
          <w:szCs w:val="24"/>
        </w:rPr>
        <w:t>不锈钢：</w:t>
      </w:r>
      <w:r w:rsidR="002B294F" w:rsidRPr="002B294F">
        <w:rPr>
          <w:rFonts w:ascii="楷体" w:eastAsia="楷体" w:hAnsi="楷体" w:hint="eastAsia"/>
          <w:b/>
          <w:color w:val="000000" w:themeColor="text1"/>
          <w:sz w:val="24"/>
          <w:szCs w:val="24"/>
        </w:rPr>
        <w:t>成本持续下移叠加需求不振，或延续偏弱震荡</w:t>
      </w:r>
      <w:bookmarkEnd w:id="33"/>
    </w:p>
    <w:p w:rsidR="003F56A5" w:rsidRDefault="002B294F" w:rsidP="001529BB">
      <w:pPr>
        <w:ind w:leftChars="300" w:left="630"/>
        <w:rPr>
          <w:rFonts w:ascii="楷体" w:eastAsia="楷体" w:hAnsi="楷体"/>
          <w:color w:val="000000" w:themeColor="text1"/>
          <w:sz w:val="24"/>
          <w:szCs w:val="24"/>
        </w:rPr>
      </w:pPr>
      <w:r w:rsidRPr="002B294F">
        <w:rPr>
          <w:rFonts w:ascii="楷体" w:eastAsia="楷体" w:hAnsi="楷体" w:hint="eastAsia"/>
          <w:color w:val="000000" w:themeColor="text1"/>
          <w:sz w:val="24"/>
          <w:szCs w:val="24"/>
        </w:rPr>
        <w:t>不锈钢价何时企稳的关键在于成本因素和需求因素。成本端，不锈钢厂持续减产，对镍铁的需求不断下降，且镍铁库存仍处高位，印尼镍铁回流压力仍大，加上国内贸易商在资金占用压力下低价出货，镍铁厂挺价能力较弱，预计短期内镍铁价格继续弱势运行。需求端，现已为不锈钢需求传统淡季，且总需求呈弱复苏态势，不锈钢需求短期内难有明显起色。库存端，下游成交整体上以刚需采购为主，去库节奏较缓慢，社库仍处历史高位。综合来看，成本支撑仍有下跌空间，叠加需求难有起色和库存高位压力，预计短期内偏弱震荡，关注镍铁价格变化和社库变化</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52059004"/>
      <w:r>
        <w:rPr>
          <w:rFonts w:ascii="楷体" w:eastAsia="楷体" w:hAnsi="楷体" w:hint="eastAsia"/>
          <w:b/>
          <w:color w:val="000000" w:themeColor="text1"/>
          <w:sz w:val="24"/>
          <w:szCs w:val="24"/>
        </w:rPr>
        <w:t>工业硅：</w:t>
      </w:r>
      <w:r w:rsidR="002B294F" w:rsidRPr="002B294F">
        <w:rPr>
          <w:rFonts w:ascii="楷体" w:eastAsia="楷体" w:hAnsi="楷体" w:hint="eastAsia"/>
          <w:b/>
          <w:sz w:val="24"/>
          <w:szCs w:val="24"/>
        </w:rPr>
        <w:t>需求暂无起色，盘面承压下行</w:t>
      </w:r>
      <w:bookmarkEnd w:id="34"/>
    </w:p>
    <w:p w:rsidR="003F56A5" w:rsidRDefault="002B294F" w:rsidP="00827E8A">
      <w:pPr>
        <w:ind w:leftChars="300" w:left="630"/>
        <w:rPr>
          <w:rFonts w:ascii="楷体" w:eastAsia="楷体" w:hAnsi="楷体"/>
          <w:sz w:val="24"/>
          <w:szCs w:val="24"/>
        </w:rPr>
      </w:pPr>
      <w:r w:rsidRPr="002B294F">
        <w:rPr>
          <w:rFonts w:ascii="楷体" w:eastAsia="楷体" w:hAnsi="楷体" w:hint="eastAsia"/>
          <w:sz w:val="24"/>
          <w:szCs w:val="24"/>
        </w:rPr>
        <w:t>11月27日，Si2401主力合约呈下行走势，收盘价13940元/吨，较上一收盘价涨跌幅+1.83%。从基本面来看，下游需求暂无明显起色，具体而言，（1）有机硅方面，终端需求较弱，单体厂维持降负运行，且月底单体厂有检修计划，对工业硅需求有进一步减小的趋势;（2）多晶硅方面，市场延续下跌，暂无出现大幅停产检修计划，新增产能仍在持续投放，对工业硅需求小幅增加，但其市场低迷对于采购以谨慎刚需为主。整体来看，需求偏弱使得盘面承压运行，但枯水期西南陆续停产，预计盘面大幅下行空间有限。策略上，谨慎资金可暂时观望，激进资金可尝试逢低试多</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52059005"/>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620BEB" w:rsidRDefault="00CC3FFA" w:rsidP="00620BEB">
      <w:pPr>
        <w:ind w:firstLineChars="200" w:firstLine="482"/>
        <w:outlineLvl w:val="1"/>
        <w:rPr>
          <w:rFonts w:ascii="楷体" w:eastAsia="楷体" w:hAnsi="楷体"/>
          <w:b/>
          <w:sz w:val="24"/>
          <w:szCs w:val="24"/>
        </w:rPr>
      </w:pPr>
      <w:bookmarkStart w:id="37" w:name="_Toc152059006"/>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2B294F" w:rsidRPr="002B294F">
        <w:rPr>
          <w:rFonts w:ascii="楷体" w:eastAsia="楷体" w:hAnsi="楷体" w:hint="eastAsia"/>
          <w:b/>
          <w:sz w:val="24"/>
          <w:szCs w:val="24"/>
        </w:rPr>
        <w:t>RU或下跌探底后回调整理</w:t>
      </w:r>
      <w:bookmarkEnd w:id="37"/>
    </w:p>
    <w:p w:rsidR="003F56A5" w:rsidRDefault="002B294F">
      <w:pPr>
        <w:ind w:leftChars="300" w:left="630"/>
        <w:rPr>
          <w:rFonts w:ascii="楷体" w:eastAsia="楷体" w:hAnsi="楷体"/>
          <w:sz w:val="24"/>
          <w:szCs w:val="24"/>
        </w:rPr>
      </w:pPr>
      <w:r w:rsidRPr="002B294F">
        <w:rPr>
          <w:rFonts w:ascii="楷体" w:eastAsia="楷体" w:hAnsi="楷体" w:hint="eastAsia"/>
          <w:sz w:val="24"/>
          <w:szCs w:val="24"/>
        </w:rPr>
        <w:t>点评：近期天胶受宏观及人民币走强影响大幅下跌，在14000的支撑位上下徘徊。供应方面，国内云南产区逐步进入停割期，原料收购价格表现坚挺，叠加上游产区生产利润持续处于亏损状态，胶价下行空间有限。库存方面，国内天然橡胶库存虽仍在去库，但去库幅度偏缓，下游工厂对原材料高价抵触心理。需求端来看，半钢胎企业排产运行平稳，部分企业为填</w:t>
      </w:r>
      <w:r w:rsidRPr="002B294F">
        <w:rPr>
          <w:rFonts w:ascii="楷体" w:eastAsia="楷体" w:hAnsi="楷体" w:hint="eastAsia"/>
          <w:sz w:val="24"/>
          <w:szCs w:val="24"/>
        </w:rPr>
        <w:lastRenderedPageBreak/>
        <w:t>补缺货产品库存，适度调整排产，带动样本企业产能利用率微幅走高。月底外贸出货尚可，内销走货相对缓慢。全钢胎样本企业销售压力逐步攀升，企业成品库存进一步走高，对整体产能利用率形成一定拖拽。终端汽车方面，10月数据同环比继续走强，汽车消费旺季来临市场景气度高。整体看，在新的强利好支撑出现前，橡胶或下跌探底后回调整理</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52059007"/>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2B294F" w:rsidRPr="002B294F">
        <w:rPr>
          <w:rFonts w:ascii="Calibri" w:eastAsia="楷体" w:hAnsi="Calibri" w:cs="Calibri" w:hint="eastAsia"/>
          <w:b/>
          <w:color w:val="000000" w:themeColor="text1"/>
          <w:sz w:val="24"/>
          <w:szCs w:val="24"/>
        </w:rPr>
        <w:t>供需矛盾不突出</w:t>
      </w:r>
      <w:r w:rsidR="002B294F" w:rsidRPr="002B294F">
        <w:rPr>
          <w:rFonts w:ascii="Calibri" w:eastAsia="楷体" w:hAnsi="Calibri" w:cs="Calibri" w:hint="eastAsia"/>
          <w:b/>
          <w:color w:val="000000" w:themeColor="text1"/>
          <w:sz w:val="24"/>
          <w:szCs w:val="24"/>
        </w:rPr>
        <w:t xml:space="preserve"> </w:t>
      </w:r>
      <w:r w:rsidR="002B294F" w:rsidRPr="002B294F">
        <w:rPr>
          <w:rFonts w:ascii="Calibri" w:eastAsia="楷体" w:hAnsi="Calibri" w:cs="Calibri" w:hint="eastAsia"/>
          <w:b/>
          <w:color w:val="000000" w:themeColor="text1"/>
          <w:sz w:val="24"/>
          <w:szCs w:val="24"/>
        </w:rPr>
        <w:t>短期调整</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2B294F" w:rsidP="002C73FE">
      <w:pPr>
        <w:ind w:leftChars="300" w:left="630"/>
        <w:rPr>
          <w:rFonts w:ascii="楷体" w:eastAsia="楷体" w:hAnsi="楷体"/>
          <w:color w:val="000000" w:themeColor="text1"/>
          <w:sz w:val="24"/>
          <w:szCs w:val="24"/>
        </w:rPr>
      </w:pPr>
      <w:r w:rsidRPr="002B294F">
        <w:rPr>
          <w:rFonts w:ascii="楷体" w:eastAsia="楷体" w:hAnsi="楷体" w:hint="eastAsia"/>
          <w:color w:val="000000" w:themeColor="text1"/>
          <w:sz w:val="24"/>
          <w:szCs w:val="24"/>
        </w:rPr>
        <w:t>原定于11.26举行的欧佩克部长级会议推迟市场短暂反应利空，但预估11.30仍能达成减产协议。PX方面，供需双增，国内负荷有小幅回升，而需求端仍有支撑。PTA供应方面，仪征64万吨以及逸盛宁波4线装置重启，恒力石化装置负荷调整，PTA装置负荷上涨至79.4%。截止11.24逸盛海南250万吨PTA新装置一条线正常运行。本周有一套短纤装置检修，一套瓶片装置开启，此外其他装置负荷也有调整，截至11.24，初步核算国内大陆地区聚酯负荷在89.8%。应季品种销售放量，江浙终端开工率明显提升且效益改善。综合来看，前期高加工费下PTA供给端装置重启与新产能投产后，近期聚酯链品种开工相对稳定，产业链矛盾不突出，关注5650附近支撑位。后市来看，进入12月份后节前补库预期及宏观氛围提振，PTA期价仍具备看多价值。仅供参考</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7B681E" w:rsidRDefault="00CC3FFA" w:rsidP="007B681E">
      <w:pPr>
        <w:ind w:leftChars="200" w:left="420"/>
        <w:outlineLvl w:val="1"/>
        <w:rPr>
          <w:rFonts w:ascii="楷体" w:eastAsia="楷体" w:hAnsi="楷体"/>
          <w:b/>
          <w:color w:val="000000" w:themeColor="text1"/>
          <w:sz w:val="24"/>
          <w:szCs w:val="24"/>
        </w:rPr>
      </w:pPr>
      <w:bookmarkStart w:id="39" w:name="_Toc152059008"/>
      <w:r>
        <w:rPr>
          <w:rFonts w:ascii="楷体" w:eastAsia="楷体" w:hAnsi="楷体" w:hint="eastAsia"/>
          <w:b/>
          <w:color w:val="000000" w:themeColor="text1"/>
          <w:sz w:val="24"/>
          <w:szCs w:val="24"/>
        </w:rPr>
        <w:t>聚烯烃：</w:t>
      </w:r>
      <w:r w:rsidR="002B294F" w:rsidRPr="002B294F">
        <w:rPr>
          <w:rFonts w:ascii="楷体" w:eastAsia="楷体" w:hAnsi="楷体" w:hint="eastAsia"/>
          <w:b/>
          <w:color w:val="000000" w:themeColor="text1"/>
          <w:sz w:val="24"/>
          <w:szCs w:val="24"/>
        </w:rPr>
        <w:t>需求季节性淡季叠加原油下跌 聚烯烃建议逢高做空</w:t>
      </w:r>
      <w:bookmarkEnd w:id="39"/>
    </w:p>
    <w:p w:rsidR="003F56A5" w:rsidRDefault="002B294F">
      <w:pPr>
        <w:ind w:leftChars="300" w:left="630"/>
        <w:rPr>
          <w:rFonts w:ascii="楷体" w:eastAsia="楷体" w:hAnsi="楷体"/>
          <w:bCs/>
          <w:sz w:val="24"/>
          <w:szCs w:val="24"/>
        </w:rPr>
      </w:pPr>
      <w:r w:rsidRPr="002B294F">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等待欧佩克及其减产同盟国周四举行的产量政策会议，欧美原油期货盘中受各种不确定的消息面影响而波动后连续第四个交易日收低。需求方面，PE下游方面，农膜整体需求平平，工厂生产清淡。棚膜工厂多停机检修；PP下游方面，BOPP市场成交刚需有量，整体量较上一交易日增加，BOPP企业未交付订单多数在一周以内。综合来看，近期聚烯烃较多装置停车检修，开工负荷仍偏低，供应端压力不大，整体库存小幅去库，但去化速率偏慢。PE下游农膜厂开工再度走弱，“双十一”购物节结束，需求季节性转弱。聚烯烃供强需弱格局，驱动较弱，建议逢高做空</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0" w:name="_Toc152059009"/>
      <w:r>
        <w:rPr>
          <w:rFonts w:ascii="楷体" w:eastAsia="楷体" w:hAnsi="楷体" w:hint="eastAsia"/>
          <w:b/>
          <w:color w:val="000000" w:themeColor="text1"/>
          <w:sz w:val="24"/>
          <w:szCs w:val="24"/>
        </w:rPr>
        <w:t>MEG：</w:t>
      </w:r>
      <w:r w:rsidR="002B294F" w:rsidRPr="002B294F">
        <w:rPr>
          <w:rFonts w:ascii="楷体" w:eastAsia="楷体" w:hAnsi="楷体" w:hint="eastAsia"/>
          <w:b/>
          <w:color w:val="000000" w:themeColor="text1"/>
          <w:sz w:val="24"/>
          <w:szCs w:val="24"/>
        </w:rPr>
        <w:t>关注低多机会</w:t>
      </w:r>
      <w:bookmarkEnd w:id="40"/>
    </w:p>
    <w:p w:rsidR="003F56A5" w:rsidRDefault="002B294F" w:rsidP="00152664">
      <w:pPr>
        <w:ind w:leftChars="300" w:left="630"/>
        <w:rPr>
          <w:rFonts w:ascii="楷体" w:eastAsia="楷体" w:hAnsi="楷体"/>
          <w:color w:val="000000" w:themeColor="text1"/>
          <w:sz w:val="24"/>
          <w:szCs w:val="24"/>
        </w:rPr>
      </w:pPr>
      <w:r w:rsidRPr="002B294F">
        <w:rPr>
          <w:rFonts w:ascii="楷体" w:eastAsia="楷体" w:hAnsi="楷体" w:hint="eastAsia"/>
          <w:color w:val="000000" w:themeColor="text1"/>
          <w:sz w:val="24"/>
          <w:szCs w:val="24"/>
        </w:rPr>
        <w:t>供需情况，11.27华东主港地区MEG港口库存约124.2万吨附近，环比上期-2.6万吨。截至11月23日，中国大陆地区乙二醇整体开工负荷在62.5%（+0.9%），其中煤制乙二醇开工负荷在63.84%（-0.21%）。截至11月24日，国内大陆地区聚酯负荷在89.8%，开工高位维持。终端来看，江浙终端开工率明显抬升。江浙加弹综合开工91%（+2%）维持，江浙织机综合开工小幅提升至85%（+3%），江浙印染综合开工83%（+4%），本周局部织造产品订单放量，伴随聚酯原料降价让利，涤丝、瓶片等产品效益改善。综合来看，巴拿马运河扰动减弱及供给维持高位，但进口到港减少预期及聚酯高开工维持驱动仍存，关注乙二醇低多机会，下方支撑4050-4080。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Pr="002B294F" w:rsidRDefault="0079299D" w:rsidP="002B294F">
      <w:pPr>
        <w:ind w:leftChars="200" w:left="420"/>
        <w:outlineLvl w:val="1"/>
        <w:rPr>
          <w:rFonts w:ascii="楷体" w:eastAsia="楷体" w:hAnsi="楷体"/>
          <w:b/>
          <w:color w:val="000000" w:themeColor="text1"/>
          <w:sz w:val="24"/>
          <w:szCs w:val="24"/>
        </w:rPr>
      </w:pPr>
      <w:bookmarkStart w:id="41" w:name="_Toc152059010"/>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2B294F" w:rsidRPr="002B294F">
        <w:rPr>
          <w:rFonts w:ascii="楷体" w:eastAsia="楷体" w:hAnsi="楷体" w:hint="eastAsia"/>
          <w:b/>
          <w:color w:val="000000" w:themeColor="text1"/>
          <w:sz w:val="24"/>
          <w:szCs w:val="24"/>
        </w:rPr>
        <w:t>基本面维持平衡，成本端继续涨价</w:t>
      </w:r>
      <w:bookmarkEnd w:id="41"/>
    </w:p>
    <w:p w:rsidR="00A71A7E" w:rsidRDefault="002B294F" w:rsidP="004C4CA5">
      <w:pPr>
        <w:ind w:leftChars="300" w:left="630"/>
        <w:rPr>
          <w:rFonts w:ascii="楷体" w:eastAsia="楷体" w:hAnsi="楷体"/>
          <w:color w:val="000000" w:themeColor="text1"/>
          <w:sz w:val="24"/>
          <w:szCs w:val="24"/>
        </w:rPr>
      </w:pPr>
      <w:r w:rsidRPr="002B294F">
        <w:rPr>
          <w:rFonts w:ascii="楷体" w:eastAsia="楷体" w:hAnsi="楷体" w:hint="eastAsia"/>
          <w:color w:val="000000" w:themeColor="text1"/>
          <w:sz w:val="24"/>
          <w:szCs w:val="24"/>
        </w:rPr>
        <w:t>隆众资讯11月27日报道：今日浮法玻璃现货价格1964元/吨，较上一交易日-2元/吨。截至2023年11月23日，全国浮法玻璃日产量为17.24万吨，与16日持平。库存上，周（20231116-20231123）全国浮法玻璃样本企业总库存3899.1万重箱，环比下滑157.6万重箱，环比-3.89%，同比-45.7%。折库存天数16.2天，较上期下滑0.6天。北方地区降价明显，南方地区年底赶工相对产销较好。需求上，预计本周去库，中下游受降价优惠刺激补库情绪增强。库存由上游向中下游转移。基本面供需弱平衡，成本端受煤价和纯碱价格上涨影响，盘面较为坚挺，在（1700，1800）区间反复震荡，近月基差贴近平水，远月受地产端需求预期利好影响，情绪偏多</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Pr="009D2D8B" w:rsidRDefault="0079299D" w:rsidP="009D2D8B">
      <w:pPr>
        <w:ind w:leftChars="200" w:left="420"/>
        <w:outlineLvl w:val="1"/>
        <w:rPr>
          <w:rFonts w:ascii="楷体" w:eastAsia="楷体" w:hAnsi="楷体"/>
          <w:b/>
          <w:color w:val="000000" w:themeColor="text1"/>
          <w:sz w:val="24"/>
          <w:szCs w:val="24"/>
        </w:rPr>
      </w:pPr>
      <w:bookmarkStart w:id="42" w:name="_Toc152059011"/>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2B294F" w:rsidRPr="002B294F">
        <w:rPr>
          <w:rFonts w:ascii="楷体" w:eastAsia="楷体" w:hAnsi="楷体" w:hint="eastAsia"/>
          <w:b/>
          <w:color w:val="000000" w:themeColor="text1"/>
          <w:sz w:val="24"/>
          <w:szCs w:val="24"/>
        </w:rPr>
        <w:t>现货维持高价，向上收敛基差</w:t>
      </w:r>
      <w:bookmarkEnd w:id="42"/>
    </w:p>
    <w:p w:rsidR="00A71A7E" w:rsidRDefault="002B294F" w:rsidP="00F51139">
      <w:pPr>
        <w:ind w:leftChars="300" w:left="630"/>
        <w:rPr>
          <w:rFonts w:ascii="楷体" w:eastAsia="楷体" w:hAnsi="楷体"/>
          <w:bCs/>
          <w:sz w:val="24"/>
          <w:szCs w:val="24"/>
        </w:rPr>
      </w:pPr>
      <w:r w:rsidRPr="002B294F">
        <w:rPr>
          <w:rFonts w:ascii="楷体" w:eastAsia="楷体" w:hAnsi="楷体" w:hint="eastAsia"/>
          <w:color w:val="000000" w:themeColor="text1"/>
          <w:sz w:val="24"/>
          <w:szCs w:val="24"/>
        </w:rPr>
        <w:t>纯碱现货价格本周上涨50-200元/吨。华中重碱现货价格稳价报价在2600-2800元/吨，华南地区重碱报价2800-2850元/吨，轻碱价格报价2700-2750元/吨。供给方面，截至20231123，纯碱产量69.15万吨，涨幅4.91%，纯碱整体开工率88.83%，环比+4.15个百分点。周纯碱厂家库存40.59万吨，环比-3.71万吨，跌幅8.37%，订单基本到月底，下月新单计划涨价。从库存结构上来看，涨价带动的下游集中补库，碱厂配合封单，导致流通货源紧张。盘面主线逻辑受现货涨价以及供给端金山三期短停检修影响，流通货源紧张期现同步上涨走出正反馈行情，短期近月继续走基差回归逻辑，短线延续偏多，后期重要拐点关注1.远兴三线月底投产情况 2.高价情况下下游补库意愿</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3" w:name="_Toc152059012"/>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3"/>
    </w:p>
    <w:p w:rsidR="003F56A5" w:rsidRDefault="00147B03">
      <w:pPr>
        <w:ind w:leftChars="200" w:left="420"/>
        <w:outlineLvl w:val="1"/>
        <w:rPr>
          <w:rFonts w:ascii="楷体" w:eastAsia="楷体" w:hAnsi="楷体"/>
          <w:b/>
          <w:sz w:val="24"/>
          <w:szCs w:val="24"/>
        </w:rPr>
      </w:pPr>
      <w:bookmarkStart w:id="44" w:name="_Toc152059013"/>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2B294F" w:rsidRPr="002B294F">
        <w:rPr>
          <w:rFonts w:ascii="楷体" w:eastAsia="楷体" w:hAnsi="楷体" w:hint="eastAsia"/>
          <w:b/>
          <w:sz w:val="24"/>
          <w:szCs w:val="24"/>
        </w:rPr>
        <w:t>美豆持续收低，两粕偏弱震荡</w:t>
      </w:r>
      <w:bookmarkEnd w:id="44"/>
    </w:p>
    <w:p w:rsidR="003F56A5" w:rsidRDefault="002B294F">
      <w:pPr>
        <w:ind w:leftChars="300" w:left="630"/>
        <w:rPr>
          <w:rFonts w:ascii="楷体" w:eastAsia="楷体" w:hAnsi="楷体"/>
          <w:sz w:val="24"/>
          <w:szCs w:val="24"/>
        </w:rPr>
      </w:pPr>
      <w:r w:rsidRPr="002B294F">
        <w:rPr>
          <w:rFonts w:ascii="楷体" w:eastAsia="楷体" w:hAnsi="楷体" w:hint="eastAsia"/>
          <w:sz w:val="24"/>
          <w:szCs w:val="24"/>
        </w:rPr>
        <w:t>美豆出口检验数据疲软，新一周数据较前一周减少12%，CBOT大豆继续收跌，但在巴西播种较慢下，跌幅收窄，叠加国内在供强需弱格局，两粕预计偏弱震荡。随着美豆定产后，市场定价重心逐步转向南美，巴西当前天气不确定性较大，目前种植进度落后于去年同期及五年均值水平为74%，虽美农报告对南美仍维持丰产预期，但中长期南美丰产预期能否兑现仍是后续价格走势的关键，关注巴西天气情况。国内现货基差延续偏弱，供应端进入11月份后，随着进口大豆到港增加，油厂大豆库存开始回升，油厂开机陆续恢复，豆粕产出缓增，但因下游成交疲软，压榨水平偏低，豆粕库存较前一周减至61.96万吨，当前沿海主流油厂豆粕现货报价下调至3930-4000元/吨。但在11-12月进口到港预期宽松下，豆粕存累库预期，关注大豆实际到港能否符合预估。需求，下游生猪养殖利润不佳，但在能繁存栏高位下，下游维持刚需补库，保持安全库存。菜粕供应存宽松预期，但当前库存偏低。由于三季度菜籽到港减少，油厂压榨也在逐步下滑，菜粕供应下滑。但四季度随着菜籽进口增加，菜粕供应预计转宽。而需求方面，随着水产消费旺季的结束，菜粕刚需减少，但在豆菜粕价差较大下提</w:t>
      </w:r>
      <w:r w:rsidRPr="002B294F">
        <w:rPr>
          <w:rFonts w:ascii="楷体" w:eastAsia="楷体" w:hAnsi="楷体" w:hint="eastAsia"/>
          <w:sz w:val="24"/>
          <w:szCs w:val="24"/>
        </w:rPr>
        <w:lastRenderedPageBreak/>
        <w:t>振菜粕的替代需求。策略方面，短期跟随外盘波动，建议豆粕短线顺势操作，暂看2850支撑，可关注1-5反套机会，菜粕跌破此前波动区间，建议顺势操作</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5" w:name="_Toc152059014"/>
      <w:r>
        <w:rPr>
          <w:rFonts w:ascii="楷体" w:eastAsia="楷体" w:hAnsi="楷体" w:hint="eastAsia"/>
          <w:b/>
          <w:color w:val="000000" w:themeColor="text1"/>
          <w:sz w:val="24"/>
          <w:szCs w:val="24"/>
        </w:rPr>
        <w:t>油脂：</w:t>
      </w:r>
      <w:r w:rsidR="002B294F" w:rsidRPr="002B294F">
        <w:rPr>
          <w:rFonts w:ascii="楷体" w:eastAsia="楷体" w:hAnsi="楷体" w:hint="eastAsia"/>
          <w:b/>
          <w:sz w:val="24"/>
          <w:szCs w:val="24"/>
        </w:rPr>
        <w:t>维持宽幅震荡，缺乏单边驱动</w:t>
      </w:r>
      <w:bookmarkEnd w:id="45"/>
    </w:p>
    <w:p w:rsidR="003F56A5" w:rsidRDefault="002B294F" w:rsidP="00792D31">
      <w:pPr>
        <w:ind w:leftChars="300" w:left="630"/>
        <w:rPr>
          <w:rFonts w:ascii="楷体" w:eastAsia="楷体" w:hAnsi="楷体"/>
          <w:sz w:val="24"/>
          <w:szCs w:val="24"/>
        </w:rPr>
      </w:pPr>
      <w:r w:rsidRPr="002B294F">
        <w:rPr>
          <w:rFonts w:ascii="楷体" w:eastAsia="楷体" w:hAnsi="楷体" w:hint="eastAsia"/>
          <w:sz w:val="24"/>
          <w:szCs w:val="24"/>
        </w:rPr>
        <w:t>在棕榈油产地产量下降以及出口步伐加快支撑下，限制了油脂的跌幅。棕榈油，产地11月份进入季节性减产周期，库存压力逐步释放，且在厄尔尼诺现象扰动下，价格下方存支撑。印尼棕榈油9月份产需双增，但产量增幅不及需求，库存环比下降。而马棕10月份在产需双增下，库存增幅不及市场预期。四季度主要关注厄尔尼诺对产量的扰动，为中长期潜在利多因素。国内棕榈油8-9月份进口到港维持高位，在买船积极下，进口供应稳增，最新商业库存减至100万吨。需求端，随着各地气温转凉，棕榈油逐步进入消费淡季，掺混需求预计减少。豆油存供需双增预期。国内随着11月后进口大豆到港增加，油厂开机有所回升，豆油供应预计将得到补充，但受豆粕下游需求疲软影响油厂压榨水平偏低，豆油增量有限。需求端，终端存在一定补库需求，且四季度为豆油消费旺季，部分掺混需求预计转向豆油，但当前价格优势并不明显，限制替代需求，近期成交及提货情况不佳，库存维持中性偏低水平。菜油预计供需双旺。当前主产地菜籽新作处于出口阶段，集中上市压力也抑制期价走势。虽8-9月份进口加籽到港量减少，菜籽开机及压榨水平偏低，10月菜籽进口3.4万吨，环比减89%，但四季度菜籽进口预期宽松。需求方面，与豆油价差持续收窄，部分地区出现与豆油价格平水情况，提振其替代需求。短期油脂维持宽幅震荡，上方压力仍存，建议短线波段操作，高抛低吸；中长期关注天气及需求表现，维持谨慎看多观点，关注做多油粕比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6" w:name="_Toc152059015"/>
      <w:r>
        <w:rPr>
          <w:rFonts w:ascii="楷体" w:eastAsia="楷体" w:hAnsi="楷体" w:hint="eastAsia"/>
          <w:b/>
          <w:bCs/>
          <w:color w:val="000000" w:themeColor="text1"/>
        </w:rPr>
        <w:t>玉米与淀粉：</w:t>
      </w:r>
      <w:r w:rsidR="002B294F" w:rsidRPr="002B294F">
        <w:rPr>
          <w:rFonts w:ascii="楷体" w:eastAsia="楷体" w:hAnsi="楷体" w:hint="eastAsia"/>
          <w:b/>
        </w:rPr>
        <w:t>期价延续弱势</w:t>
      </w:r>
      <w:bookmarkEnd w:id="46"/>
    </w:p>
    <w:p w:rsidR="002B294F" w:rsidRPr="002B294F" w:rsidRDefault="002B294F" w:rsidP="002B294F">
      <w:pPr>
        <w:pStyle w:val="paragraph"/>
        <w:spacing w:after="60"/>
        <w:ind w:leftChars="300" w:left="630"/>
        <w:rPr>
          <w:rFonts w:ascii="楷体" w:eastAsia="楷体" w:hAnsi="楷体" w:hint="eastAsia"/>
        </w:rPr>
      </w:pPr>
      <w:r w:rsidRPr="002B294F">
        <w:rPr>
          <w:rFonts w:ascii="楷体" w:eastAsia="楷体" w:hAnsi="楷体" w:hint="eastAsia"/>
        </w:rPr>
        <w:t>对于玉米而言，市场延续供需博弈，空方基于农户余粮仍在八成左右，而中下游补库意愿较低，倾向于认为接下来仍有新作上市压力。而多方则更多倾向于东北和华北产区新作压力最大的时候或已经过去，且国产玉米性价比在持续回落之后有显著提升，目前已优于小麦和陈稻，仅次于进口谷物，中下游包括贸易商和需求企业或逐步转变心态，有望基于年度产需缺口而进入补库阶段。在这种情况下，接下来市场走势在很大程度上取决于供需双方的博弈，突出体现在上游农户的惜售心理和中下游补库意愿上。综上所述，我们维持谨慎看多观点，建议谨慎投资者观望，激进投资者择机做多，或持有前期多单。</w:t>
      </w:r>
    </w:p>
    <w:p w:rsidR="003F56A5" w:rsidRDefault="002B294F" w:rsidP="002B294F">
      <w:pPr>
        <w:pStyle w:val="paragraph"/>
        <w:spacing w:before="0" w:beforeAutospacing="0" w:after="60" w:afterAutospacing="0"/>
        <w:ind w:leftChars="300" w:left="630"/>
        <w:rPr>
          <w:rFonts w:ascii="楷体" w:eastAsia="楷体" w:hAnsi="楷体"/>
        </w:rPr>
      </w:pPr>
      <w:r w:rsidRPr="002B294F">
        <w:rPr>
          <w:rFonts w:ascii="楷体" w:eastAsia="楷体" w:hAnsi="楷体" w:hint="eastAsia"/>
        </w:rPr>
        <w:t>对于淀粉而言，影响淀粉-玉米价差的三个方面因素已经发生变化，原料端转向利多，供需端则有望从利多转向利空，副产品端则存在较大变数。在这种情况下，我们倾向于认为淀粉-玉米价差不排除在原料玉米和现货基差的带动下继续走扩的可能性，但受制于供需端的变化其上方空间或相对有限，除非蛋白粕带动副产品价格继续下跌。综上所述，维持谨慎看多观点，单边建议投资者择机入场做多或持有前期多单，套利方面则建议前期淀粉-玉米价差走扩套利组合可考虑择机获利离场</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7" w:name="_Toc152059016"/>
      <w:r>
        <w:rPr>
          <w:rFonts w:ascii="楷体" w:eastAsia="楷体" w:hAnsi="楷体" w:hint="eastAsia"/>
          <w:b/>
          <w:bCs/>
          <w:color w:val="000000" w:themeColor="text1"/>
        </w:rPr>
        <w:t>畜禽养殖：</w:t>
      </w:r>
      <w:r w:rsidR="002B294F" w:rsidRPr="002B294F">
        <w:rPr>
          <w:rFonts w:ascii="楷体" w:eastAsia="楷体" w:hAnsi="楷体" w:hint="eastAsia"/>
          <w:b/>
          <w:bCs/>
          <w:color w:val="000000" w:themeColor="text1"/>
        </w:rPr>
        <w:t>现货带动生猪期价继续下跌</w:t>
      </w:r>
      <w:bookmarkEnd w:id="47"/>
    </w:p>
    <w:p w:rsidR="002B294F" w:rsidRPr="002B294F" w:rsidRDefault="002B294F" w:rsidP="002B294F">
      <w:pPr>
        <w:pStyle w:val="paragraph"/>
        <w:spacing w:after="60"/>
        <w:ind w:leftChars="300" w:left="630"/>
        <w:rPr>
          <w:rFonts w:ascii="楷体" w:eastAsia="楷体" w:hAnsi="楷体" w:hint="eastAsia"/>
        </w:rPr>
      </w:pPr>
      <w:r w:rsidRPr="002B294F">
        <w:rPr>
          <w:rFonts w:ascii="楷体" w:eastAsia="楷体" w:hAnsi="楷体" w:hint="eastAsia"/>
        </w:rPr>
        <w:t>对于生猪而言，在前期报告中我们指出，考虑到仔猪价格的持续下跌和10月下半月局部地区非洲猪瘟疫情有望导致生猪产能去化加快，市场对于远期供需预期趋于乐观存在合理性，但春节前后合约或存在结构性机会。这种结构性机会体现在1月、3月和5月合约上，其中1月即近月合约更多关注现货走势，考虑到当前节奏符合我们之前先抑后扬的判断，这意味着8月以来现货持续下跌带来供应的消化，后期在春节前旺季需求的带动下，现货有望出现反弹机会。而对于明年上半年合约而言，从目前数据来看，供应整体仍较为充裕，需求受季节性因素抑制，现货表现或难言乐观。近期现货持续弱势，或源于两个方面因素，其一是疫情带动供应冲击，其二是季节性需求尚未启动，在这种情况下，需要等待供需改善带动现货转势。综上所述，我们转为中性观点，建议投资者转为观望为宜。</w:t>
      </w:r>
    </w:p>
    <w:p w:rsidR="003F56A5" w:rsidRDefault="002B294F" w:rsidP="002B294F">
      <w:pPr>
        <w:pStyle w:val="paragraph"/>
        <w:spacing w:before="0" w:beforeAutospacing="0" w:after="60" w:afterAutospacing="0"/>
        <w:ind w:leftChars="300" w:left="630"/>
        <w:rPr>
          <w:rFonts w:ascii="楷体" w:eastAsia="楷体" w:hAnsi="楷体"/>
        </w:rPr>
      </w:pPr>
      <w:r w:rsidRPr="002B294F">
        <w:rPr>
          <w:rFonts w:ascii="楷体" w:eastAsia="楷体" w:hAnsi="楷体" w:hint="eastAsia"/>
        </w:rPr>
        <w:t>对于鸡蛋而言，从供需角度看，卓创资讯数据显示，在产蛋鸡存栏连续四个月环比增加，考虑到今年节后以来蛋鸡苗销量均同比增加，而蛋鸡淘汰量持续处于历史低位水平，蛋鸡淘汰日龄则持续位于历史同期高位，由此可以看出，后期鸡蛋供需有望继续趋于改善，叠加整个动物蛋白供需过剩的大背景，鸡蛋期现货价格或仍有下跌空间。近期期价特别是近月期价反弹的主要逻辑有二，其一是现货止跌反弹，使得市场预期季节性回落临近尾声，后期在节前备货需求的带动下有望震荡反弹；其二是近期养殖利润下滑之后，蛋鸡淘汰量显著回升，从而导致市场对远期供需有所改善。在这种情况下，我们倾向于鸡蛋期价或趋于震荡调整，在这个过程中，市场将根据季节性旺季期间的现货表现来判断接下来特别是春节后的鸡蛋供需状况。在这种情况下，我们转为中性观点，建议投资者观望为宜</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8" w:name="_Toc152059017"/>
      <w:r>
        <w:rPr>
          <w:rFonts w:ascii="楷体" w:eastAsia="楷体" w:hAnsi="楷体" w:hint="eastAsia"/>
          <w:b/>
          <w:sz w:val="24"/>
          <w:szCs w:val="24"/>
        </w:rPr>
        <w:t>郑棉：</w:t>
      </w:r>
      <w:r w:rsidR="002B294F" w:rsidRPr="002B294F">
        <w:rPr>
          <w:rFonts w:ascii="楷体" w:eastAsia="楷体" w:hAnsi="楷体" w:hint="eastAsia"/>
          <w:b/>
          <w:sz w:val="24"/>
          <w:szCs w:val="24"/>
        </w:rPr>
        <w:t>震荡偏弱，试探1.5关口支撑。观望等待重新高抛机会</w:t>
      </w:r>
      <w:bookmarkEnd w:id="48"/>
    </w:p>
    <w:p w:rsidR="003F56A5" w:rsidRDefault="002B294F" w:rsidP="007B3290">
      <w:pPr>
        <w:ind w:leftChars="300" w:left="630"/>
        <w:rPr>
          <w:rFonts w:ascii="楷体" w:eastAsia="楷体" w:hAnsi="楷体"/>
          <w:sz w:val="24"/>
          <w:szCs w:val="24"/>
        </w:rPr>
      </w:pPr>
      <w:r w:rsidRPr="002B294F">
        <w:rPr>
          <w:rFonts w:ascii="楷体" w:eastAsia="楷体" w:hAnsi="楷体" w:hint="eastAsia"/>
          <w:sz w:val="24"/>
          <w:szCs w:val="24"/>
        </w:rPr>
        <w:t>因出口数据不佳，而收割进度较快，叠加谷物等其他农产品走弱，美棉大跌。国内新棉加工速度极快，价格跟随期价走弱。棉花棉纱进口如期大增。供应端维持宽松，而下游负反馈情况显著。社会棉纱库存和纺织厂棉纱库存皆处于历史性高位，需用时间或者空间来清理。近期纱线价格走弱明显，棉纱期货领跌，纺织厂开机率也在持续降低中。短期缺乏利多因素，但1.5关口或需一番争夺</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49" w:name="_Toc152059018"/>
      <w:r>
        <w:rPr>
          <w:rFonts w:ascii="楷体" w:eastAsia="楷体" w:hAnsi="楷体" w:hint="eastAsia"/>
          <w:b/>
          <w:sz w:val="24"/>
          <w:szCs w:val="24"/>
        </w:rPr>
        <w:t>白糖：</w:t>
      </w:r>
      <w:r w:rsidR="002B294F" w:rsidRPr="002B294F">
        <w:rPr>
          <w:rFonts w:ascii="楷体" w:eastAsia="楷体" w:hAnsi="楷体" w:hint="eastAsia"/>
          <w:b/>
          <w:sz w:val="24"/>
          <w:szCs w:val="24"/>
        </w:rPr>
        <w:t>区间弱势震荡，暂且观望</w:t>
      </w:r>
      <w:bookmarkEnd w:id="49"/>
    </w:p>
    <w:p w:rsidR="00296325" w:rsidRDefault="002B294F" w:rsidP="00296325">
      <w:pPr>
        <w:ind w:leftChars="300" w:left="630"/>
        <w:rPr>
          <w:rFonts w:ascii="楷体" w:eastAsia="楷体" w:hAnsi="楷体"/>
          <w:sz w:val="24"/>
          <w:szCs w:val="24"/>
        </w:rPr>
      </w:pPr>
      <w:r w:rsidRPr="002B294F">
        <w:rPr>
          <w:rFonts w:ascii="楷体" w:eastAsia="楷体" w:hAnsi="楷体" w:hint="eastAsia"/>
          <w:sz w:val="24"/>
          <w:szCs w:val="24"/>
        </w:rPr>
        <w:t>巴西产量再创新高，11月上半月产量同比增加31%，但港口拥堵问题限制了巴西白糖外运，原糖保持强势。除巴西外，厄尔尼诺天气影响下，市场对新季白糖的供应依然存在忧虑。主要产糖大国印度的乙醇燃料计划使其甘蔗使用量大增，出口限制政策延续。泰国的产糖前景也不乐观，泰国发布限制出口政策，市场对此感到担忧。泰国内阁批准国内糖价上调10%。对于国内糖价来说，广西开榨，传闻本榨季广西有望增产15%—20%。10月</w:t>
      </w:r>
      <w:r w:rsidRPr="002B294F">
        <w:rPr>
          <w:rFonts w:ascii="楷体" w:eastAsia="楷体" w:hAnsi="楷体" w:hint="eastAsia"/>
          <w:sz w:val="24"/>
          <w:szCs w:val="24"/>
        </w:rPr>
        <w:lastRenderedPageBreak/>
        <w:t>进口量大增至92.5万吨。供应紧张局面缓解，现货价格持续走弱，基差已收敛</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152664" w:rsidRDefault="00152664" w:rsidP="00152664">
      <w:pPr>
        <w:pBdr>
          <w:top w:val="single" w:sz="4" w:space="0" w:color="auto"/>
        </w:pBdr>
        <w:outlineLvl w:val="0"/>
        <w:rPr>
          <w:rFonts w:ascii="Times New Roman" w:eastAsia="楷体" w:hAnsi="Times New Roman"/>
          <w:b/>
          <w:color w:val="823C0B"/>
        </w:rPr>
      </w:pPr>
      <w:bookmarkStart w:id="50" w:name="_Toc152059019"/>
      <w:r>
        <w:rPr>
          <w:rFonts w:ascii="Times New Roman" w:eastAsia="楷体" w:hAnsi="Times New Roman" w:hint="eastAsia"/>
          <w:b/>
          <w:color w:val="823C0B"/>
          <w:sz w:val="30"/>
          <w:szCs w:val="30"/>
        </w:rPr>
        <w:t>[</w:t>
      </w:r>
      <w:r w:rsidRPr="00152664">
        <w:rPr>
          <w:rFonts w:ascii="Times New Roman" w:eastAsia="楷体" w:hAnsi="Times New Roman" w:hint="eastAsia"/>
          <w:b/>
          <w:color w:val="823C0B"/>
          <w:sz w:val="30"/>
          <w:szCs w:val="30"/>
        </w:rPr>
        <w:t>指数</w:t>
      </w:r>
      <w:r>
        <w:rPr>
          <w:rFonts w:ascii="Times New Roman" w:eastAsia="楷体" w:hAnsi="Times New Roman" w:hint="eastAsia"/>
          <w:b/>
          <w:color w:val="823C0B"/>
          <w:sz w:val="30"/>
          <w:szCs w:val="30"/>
        </w:rPr>
        <w:t>]</w:t>
      </w:r>
      <w:bookmarkEnd w:id="50"/>
    </w:p>
    <w:p w:rsidR="00152664" w:rsidRDefault="00152664" w:rsidP="00152664">
      <w:pPr>
        <w:ind w:leftChars="200" w:left="420"/>
        <w:outlineLvl w:val="1"/>
        <w:rPr>
          <w:rFonts w:ascii="Times New Roman" w:eastAsia="楷体" w:hAnsi="Times New Roman"/>
          <w:b/>
          <w:color w:val="000000" w:themeColor="text1"/>
          <w:sz w:val="24"/>
          <w:szCs w:val="24"/>
        </w:rPr>
      </w:pPr>
      <w:bookmarkStart w:id="51" w:name="_Toc152059020"/>
      <w:r w:rsidRPr="00152664">
        <w:rPr>
          <w:rFonts w:ascii="Times New Roman" w:eastAsia="楷体" w:hAnsi="Times New Roman" w:hint="eastAsia"/>
          <w:b/>
          <w:color w:val="000000" w:themeColor="text1"/>
          <w:sz w:val="24"/>
          <w:szCs w:val="24"/>
        </w:rPr>
        <w:t>集运指数（欧线）</w:t>
      </w:r>
      <w:r>
        <w:rPr>
          <w:rFonts w:ascii="Times New Roman" w:eastAsia="楷体" w:hAnsi="Times New Roman" w:hint="eastAsia"/>
          <w:b/>
          <w:color w:val="000000" w:themeColor="text1"/>
          <w:sz w:val="24"/>
          <w:szCs w:val="24"/>
        </w:rPr>
        <w:t>：</w:t>
      </w:r>
      <w:r w:rsidR="002B294F" w:rsidRPr="002B294F">
        <w:rPr>
          <w:rFonts w:ascii="Times New Roman" w:eastAsia="楷体" w:hAnsi="Times New Roman" w:hint="eastAsia"/>
          <w:b/>
          <w:color w:val="000000" w:themeColor="text1"/>
          <w:sz w:val="24"/>
          <w:szCs w:val="24"/>
        </w:rPr>
        <w:t>SCFIS</w:t>
      </w:r>
      <w:r w:rsidR="002B294F" w:rsidRPr="002B294F">
        <w:rPr>
          <w:rFonts w:ascii="Times New Roman" w:eastAsia="楷体" w:hAnsi="Times New Roman" w:hint="eastAsia"/>
          <w:b/>
          <w:color w:val="000000" w:themeColor="text1"/>
          <w:sz w:val="24"/>
          <w:szCs w:val="24"/>
        </w:rPr>
        <w:t>回落符合现实预期，进入新一轮涨价期</w:t>
      </w:r>
      <w:bookmarkEnd w:id="51"/>
    </w:p>
    <w:p w:rsidR="002B294F" w:rsidRPr="002B294F" w:rsidRDefault="002B294F" w:rsidP="002B294F">
      <w:pPr>
        <w:ind w:leftChars="300" w:left="630"/>
        <w:rPr>
          <w:rFonts w:ascii="Times New Roman" w:eastAsia="楷体" w:hAnsi="Times New Roman" w:hint="eastAsia"/>
          <w:color w:val="000000" w:themeColor="text1"/>
          <w:sz w:val="24"/>
          <w:szCs w:val="24"/>
        </w:rPr>
      </w:pPr>
      <w:r w:rsidRPr="002B294F">
        <w:rPr>
          <w:rFonts w:ascii="Times New Roman" w:eastAsia="楷体" w:hAnsi="Times New Roman" w:hint="eastAsia"/>
          <w:color w:val="000000" w:themeColor="text1"/>
          <w:sz w:val="24"/>
          <w:szCs w:val="24"/>
        </w:rPr>
        <w:t>供应端方面，船公司们计划在明年</w:t>
      </w:r>
      <w:r w:rsidRPr="002B294F">
        <w:rPr>
          <w:rFonts w:ascii="Times New Roman" w:eastAsia="楷体" w:hAnsi="Times New Roman" w:hint="eastAsia"/>
          <w:color w:val="000000" w:themeColor="text1"/>
          <w:sz w:val="24"/>
          <w:szCs w:val="24"/>
        </w:rPr>
        <w:t>2</w:t>
      </w:r>
      <w:r w:rsidRPr="002B294F">
        <w:rPr>
          <w:rFonts w:ascii="Times New Roman" w:eastAsia="楷体" w:hAnsi="Times New Roman" w:hint="eastAsia"/>
          <w:color w:val="000000" w:themeColor="text1"/>
          <w:sz w:val="24"/>
          <w:szCs w:val="24"/>
        </w:rPr>
        <w:t>月中国农历新年之前闲置船舶实施大停航，地中海、达飞、赫伯罗特等大公司相继宣布其涨价细节，通过增加附加费等方式上调运价，并涉及各种不同航线。昨日盘后公布</w:t>
      </w:r>
      <w:r w:rsidRPr="002B294F">
        <w:rPr>
          <w:rFonts w:ascii="Times New Roman" w:eastAsia="楷体" w:hAnsi="Times New Roman" w:hint="eastAsia"/>
          <w:color w:val="000000" w:themeColor="text1"/>
          <w:sz w:val="24"/>
          <w:szCs w:val="24"/>
        </w:rPr>
        <w:t>SCFIS</w:t>
      </w:r>
      <w:r w:rsidRPr="002B294F">
        <w:rPr>
          <w:rFonts w:ascii="Times New Roman" w:eastAsia="楷体" w:hAnsi="Times New Roman" w:hint="eastAsia"/>
          <w:color w:val="000000" w:themeColor="text1"/>
          <w:sz w:val="24"/>
          <w:szCs w:val="24"/>
        </w:rPr>
        <w:t>欧线数据下跌</w:t>
      </w:r>
      <w:r w:rsidRPr="002B294F">
        <w:rPr>
          <w:rFonts w:ascii="Times New Roman" w:eastAsia="楷体" w:hAnsi="Times New Roman" w:hint="eastAsia"/>
          <w:color w:val="000000" w:themeColor="text1"/>
          <w:sz w:val="24"/>
          <w:szCs w:val="24"/>
        </w:rPr>
        <w:t>8%</w:t>
      </w:r>
      <w:r w:rsidRPr="002B294F">
        <w:rPr>
          <w:rFonts w:ascii="Times New Roman" w:eastAsia="楷体" w:hAnsi="Times New Roman" w:hint="eastAsia"/>
          <w:color w:val="000000" w:themeColor="text1"/>
          <w:sz w:val="24"/>
          <w:szCs w:val="24"/>
        </w:rPr>
        <w:t>，兑现</w:t>
      </w:r>
      <w:r w:rsidRPr="002B294F">
        <w:rPr>
          <w:rFonts w:ascii="Times New Roman" w:eastAsia="楷体" w:hAnsi="Times New Roman" w:hint="eastAsia"/>
          <w:color w:val="000000" w:themeColor="text1"/>
          <w:sz w:val="24"/>
          <w:szCs w:val="24"/>
        </w:rPr>
        <w:t>11</w:t>
      </w:r>
      <w:r w:rsidRPr="002B294F">
        <w:rPr>
          <w:rFonts w:ascii="Times New Roman" w:eastAsia="楷体" w:hAnsi="Times New Roman" w:hint="eastAsia"/>
          <w:color w:val="000000" w:themeColor="text1"/>
          <w:sz w:val="24"/>
          <w:szCs w:val="24"/>
        </w:rPr>
        <w:t>月</w:t>
      </w:r>
      <w:r w:rsidRPr="002B294F">
        <w:rPr>
          <w:rFonts w:ascii="Times New Roman" w:eastAsia="楷体" w:hAnsi="Times New Roman" w:hint="eastAsia"/>
          <w:color w:val="000000" w:themeColor="text1"/>
          <w:sz w:val="24"/>
          <w:szCs w:val="24"/>
        </w:rPr>
        <w:t>10</w:t>
      </w:r>
      <w:r w:rsidRPr="002B294F">
        <w:rPr>
          <w:rFonts w:ascii="Times New Roman" w:eastAsia="楷体" w:hAnsi="Times New Roman" w:hint="eastAsia"/>
          <w:color w:val="000000" w:themeColor="text1"/>
          <w:sz w:val="24"/>
          <w:szCs w:val="24"/>
        </w:rPr>
        <w:t>日</w:t>
      </w:r>
      <w:r w:rsidRPr="002B294F">
        <w:rPr>
          <w:rFonts w:ascii="Times New Roman" w:eastAsia="楷体" w:hAnsi="Times New Roman" w:hint="eastAsia"/>
          <w:color w:val="000000" w:themeColor="text1"/>
          <w:sz w:val="24"/>
          <w:szCs w:val="24"/>
        </w:rPr>
        <w:t>SCFI</w:t>
      </w:r>
      <w:r w:rsidRPr="002B294F">
        <w:rPr>
          <w:rFonts w:ascii="Times New Roman" w:eastAsia="楷体" w:hAnsi="Times New Roman" w:hint="eastAsia"/>
          <w:color w:val="000000" w:themeColor="text1"/>
          <w:sz w:val="24"/>
          <w:szCs w:val="24"/>
        </w:rPr>
        <w:t>回落符合预期。外需方面，欧洲经济边际回暖，</w:t>
      </w:r>
      <w:r w:rsidRPr="002B294F">
        <w:rPr>
          <w:rFonts w:ascii="Times New Roman" w:eastAsia="楷体" w:hAnsi="Times New Roman" w:hint="eastAsia"/>
          <w:color w:val="000000" w:themeColor="text1"/>
          <w:sz w:val="24"/>
          <w:szCs w:val="24"/>
        </w:rPr>
        <w:t>11</w:t>
      </w:r>
      <w:r w:rsidRPr="002B294F">
        <w:rPr>
          <w:rFonts w:ascii="Times New Roman" w:eastAsia="楷体" w:hAnsi="Times New Roman" w:hint="eastAsia"/>
          <w:color w:val="000000" w:themeColor="text1"/>
          <w:sz w:val="24"/>
          <w:szCs w:val="24"/>
        </w:rPr>
        <w:t>月欧元区制造业</w:t>
      </w:r>
      <w:r w:rsidRPr="002B294F">
        <w:rPr>
          <w:rFonts w:ascii="Times New Roman" w:eastAsia="楷体" w:hAnsi="Times New Roman" w:hint="eastAsia"/>
          <w:color w:val="000000" w:themeColor="text1"/>
          <w:sz w:val="24"/>
          <w:szCs w:val="24"/>
        </w:rPr>
        <w:t>PMI</w:t>
      </w:r>
      <w:r w:rsidRPr="002B294F">
        <w:rPr>
          <w:rFonts w:ascii="Times New Roman" w:eastAsia="楷体" w:hAnsi="Times New Roman" w:hint="eastAsia"/>
          <w:color w:val="000000" w:themeColor="text1"/>
          <w:sz w:val="24"/>
          <w:szCs w:val="24"/>
        </w:rPr>
        <w:t>数据为</w:t>
      </w:r>
      <w:r w:rsidRPr="002B294F">
        <w:rPr>
          <w:rFonts w:ascii="Times New Roman" w:eastAsia="楷体" w:hAnsi="Times New Roman" w:hint="eastAsia"/>
          <w:color w:val="000000" w:themeColor="text1"/>
          <w:sz w:val="24"/>
          <w:szCs w:val="24"/>
        </w:rPr>
        <w:t>43.8</w:t>
      </w:r>
      <w:r w:rsidRPr="002B294F">
        <w:rPr>
          <w:rFonts w:ascii="Times New Roman" w:eastAsia="楷体" w:hAnsi="Times New Roman" w:hint="eastAsia"/>
          <w:color w:val="000000" w:themeColor="text1"/>
          <w:sz w:val="24"/>
          <w:szCs w:val="24"/>
        </w:rPr>
        <w:t>，超过预期的</w:t>
      </w:r>
      <w:r w:rsidRPr="002B294F">
        <w:rPr>
          <w:rFonts w:ascii="Times New Roman" w:eastAsia="楷体" w:hAnsi="Times New Roman" w:hint="eastAsia"/>
          <w:color w:val="000000" w:themeColor="text1"/>
          <w:sz w:val="24"/>
          <w:szCs w:val="24"/>
        </w:rPr>
        <w:t>43.4</w:t>
      </w:r>
      <w:r w:rsidRPr="002B294F">
        <w:rPr>
          <w:rFonts w:ascii="Times New Roman" w:eastAsia="楷体" w:hAnsi="Times New Roman" w:hint="eastAsia"/>
          <w:color w:val="000000" w:themeColor="text1"/>
          <w:sz w:val="24"/>
          <w:szCs w:val="24"/>
        </w:rPr>
        <w:t>，前值</w:t>
      </w:r>
      <w:r w:rsidRPr="002B294F">
        <w:rPr>
          <w:rFonts w:ascii="Times New Roman" w:eastAsia="楷体" w:hAnsi="Times New Roman" w:hint="eastAsia"/>
          <w:color w:val="000000" w:themeColor="text1"/>
          <w:sz w:val="24"/>
          <w:szCs w:val="24"/>
        </w:rPr>
        <w:t>43.1</w:t>
      </w:r>
      <w:r w:rsidRPr="002B294F">
        <w:rPr>
          <w:rFonts w:ascii="Times New Roman" w:eastAsia="楷体" w:hAnsi="Times New Roman" w:hint="eastAsia"/>
          <w:color w:val="000000" w:themeColor="text1"/>
          <w:sz w:val="24"/>
          <w:szCs w:val="24"/>
        </w:rPr>
        <w:t>，虽然仍离</w:t>
      </w:r>
      <w:r w:rsidRPr="002B294F">
        <w:rPr>
          <w:rFonts w:ascii="Times New Roman" w:eastAsia="楷体" w:hAnsi="Times New Roman" w:hint="eastAsia"/>
          <w:color w:val="000000" w:themeColor="text1"/>
          <w:sz w:val="24"/>
          <w:szCs w:val="24"/>
        </w:rPr>
        <w:t>50</w:t>
      </w:r>
      <w:r w:rsidRPr="002B294F">
        <w:rPr>
          <w:rFonts w:ascii="Times New Roman" w:eastAsia="楷体" w:hAnsi="Times New Roman" w:hint="eastAsia"/>
          <w:color w:val="000000" w:themeColor="text1"/>
          <w:sz w:val="24"/>
          <w:szCs w:val="24"/>
        </w:rPr>
        <w:t>的荣枯线水平较远但比上一期数据有所好转。</w:t>
      </w:r>
    </w:p>
    <w:p w:rsidR="00152664" w:rsidRDefault="002B294F" w:rsidP="002B294F">
      <w:pPr>
        <w:ind w:leftChars="300" w:left="630"/>
        <w:rPr>
          <w:rFonts w:ascii="Times New Roman" w:eastAsia="楷体" w:hAnsi="Times New Roman"/>
          <w:color w:val="000000" w:themeColor="text1"/>
          <w:sz w:val="24"/>
          <w:szCs w:val="24"/>
        </w:rPr>
      </w:pPr>
      <w:r w:rsidRPr="002B294F">
        <w:rPr>
          <w:rFonts w:ascii="Times New Roman" w:eastAsia="楷体" w:hAnsi="Times New Roman" w:hint="eastAsia"/>
          <w:color w:val="000000" w:themeColor="text1"/>
          <w:sz w:val="24"/>
          <w:szCs w:val="24"/>
        </w:rPr>
        <w:t>目前期货价格依然保持宽幅震荡，需求端边际利好消息有所带动，加上目前进入</w:t>
      </w:r>
      <w:r w:rsidRPr="002B294F">
        <w:rPr>
          <w:rFonts w:ascii="Times New Roman" w:eastAsia="楷体" w:hAnsi="Times New Roman" w:hint="eastAsia"/>
          <w:color w:val="000000" w:themeColor="text1"/>
          <w:sz w:val="24"/>
          <w:szCs w:val="24"/>
        </w:rPr>
        <w:t>12</w:t>
      </w:r>
      <w:r w:rsidRPr="002B294F">
        <w:rPr>
          <w:rFonts w:ascii="Times New Roman" w:eastAsia="楷体" w:hAnsi="Times New Roman" w:hint="eastAsia"/>
          <w:color w:val="000000" w:themeColor="text1"/>
          <w:sz w:val="24"/>
          <w:szCs w:val="24"/>
        </w:rPr>
        <w:t>月初的上调运价计划的实施区间，因此市场情绪有所回暖。建议操作上以区间交易为主</w:t>
      </w:r>
      <w:r w:rsidR="00152664">
        <w:rPr>
          <w:rFonts w:ascii="Times New Roman" w:eastAsia="楷体" w:hAnsi="Times New Roman" w:hint="eastAsia"/>
          <w:color w:val="000000" w:themeColor="text1"/>
          <w:sz w:val="24"/>
          <w:szCs w:val="24"/>
        </w:rPr>
        <w:t>。</w:t>
      </w: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2" w:name="_Toc71212556"/>
      <w:bookmarkStart w:id="53" w:name="_Toc19667"/>
      <w:bookmarkStart w:id="54" w:name="_Toc98426751"/>
      <w:bookmarkStart w:id="55" w:name="_Toc12779"/>
      <w:bookmarkStart w:id="56" w:name="_Toc72481108"/>
      <w:r>
        <w:rPr>
          <w:rFonts w:ascii="Times New Roman" w:eastAsia="楷体" w:hAnsi="Times New Roman"/>
          <w:b/>
          <w:color w:val="411D05"/>
          <w:sz w:val="30"/>
          <w:szCs w:val="30"/>
        </w:rPr>
        <w:lastRenderedPageBreak/>
        <w:t>免责声明</w:t>
      </w:r>
      <w:bookmarkEnd w:id="52"/>
      <w:bookmarkEnd w:id="53"/>
      <w:bookmarkEnd w:id="54"/>
      <w:bookmarkEnd w:id="55"/>
      <w:bookmarkEnd w:id="56"/>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0CF" w:rsidRDefault="00BC50CF">
      <w:r>
        <w:separator/>
      </w:r>
    </w:p>
  </w:endnote>
  <w:endnote w:type="continuationSeparator" w:id="0">
    <w:p w:rsidR="00BC50CF" w:rsidRDefault="00BC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126BEF41" wp14:editId="51C6559F">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2B294F">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2B294F">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0CF" w:rsidRDefault="00BC50CF">
      <w:r>
        <w:separator/>
      </w:r>
    </w:p>
  </w:footnote>
  <w:footnote w:type="continuationSeparator" w:id="0">
    <w:p w:rsidR="00BC50CF" w:rsidRDefault="00BC50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5F43F409" wp14:editId="4CF5F2AF">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40CF99C4" wp14:editId="774AC858">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D4554A">
      <w:rPr>
        <w:rFonts w:ascii="Times New Roman" w:eastAsia="楷体" w:hAnsi="Times New Roman" w:hint="eastAsia"/>
        <w:b/>
        <w:bCs/>
        <w:noProof/>
        <w:color w:val="833C0B"/>
        <w:sz w:val="21"/>
      </w:rPr>
      <w:t>2023</w:t>
    </w:r>
    <w:r w:rsidR="00D4554A">
      <w:rPr>
        <w:rFonts w:ascii="Times New Roman" w:eastAsia="楷体" w:hAnsi="Times New Roman" w:hint="eastAsia"/>
        <w:b/>
        <w:bCs/>
        <w:noProof/>
        <w:color w:val="833C0B"/>
        <w:sz w:val="21"/>
      </w:rPr>
      <w:t>年</w:t>
    </w:r>
    <w:r w:rsidR="00D4554A">
      <w:rPr>
        <w:rFonts w:ascii="Times New Roman" w:eastAsia="楷体" w:hAnsi="Times New Roman" w:hint="eastAsia"/>
        <w:b/>
        <w:bCs/>
        <w:noProof/>
        <w:color w:val="833C0B"/>
        <w:sz w:val="21"/>
      </w:rPr>
      <w:t>11</w:t>
    </w:r>
    <w:r w:rsidR="00D4554A">
      <w:rPr>
        <w:rFonts w:ascii="Times New Roman" w:eastAsia="楷体" w:hAnsi="Times New Roman" w:hint="eastAsia"/>
        <w:b/>
        <w:bCs/>
        <w:noProof/>
        <w:color w:val="833C0B"/>
        <w:sz w:val="21"/>
      </w:rPr>
      <w:t>月</w:t>
    </w:r>
    <w:r w:rsidR="00D4554A">
      <w:rPr>
        <w:rFonts w:ascii="Times New Roman" w:eastAsia="楷体" w:hAnsi="Times New Roman" w:hint="eastAsia"/>
        <w:b/>
        <w:bCs/>
        <w:noProof/>
        <w:color w:val="833C0B"/>
        <w:sz w:val="21"/>
      </w:rPr>
      <w:t>28</w:t>
    </w:r>
    <w:r w:rsidR="00D4554A">
      <w:rPr>
        <w:rFonts w:ascii="Times New Roman" w:eastAsia="楷体" w:hAnsi="Times New Roman" w:hint="eastAsia"/>
        <w:b/>
        <w:bCs/>
        <w:noProof/>
        <w:color w:val="833C0B"/>
        <w:sz w:val="21"/>
      </w:rPr>
      <w:t>日星期二</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AA"/>
    <w:rsid w:val="00073CEF"/>
    <w:rsid w:val="00076420"/>
    <w:rsid w:val="000820C6"/>
    <w:rsid w:val="00093E40"/>
    <w:rsid w:val="00094BAE"/>
    <w:rsid w:val="00096258"/>
    <w:rsid w:val="000A390A"/>
    <w:rsid w:val="000A413E"/>
    <w:rsid w:val="000B0648"/>
    <w:rsid w:val="000B4E70"/>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984"/>
    <w:rsid w:val="00170E7B"/>
    <w:rsid w:val="00170EDF"/>
    <w:rsid w:val="001801C4"/>
    <w:rsid w:val="0018678E"/>
    <w:rsid w:val="001942CB"/>
    <w:rsid w:val="001945E9"/>
    <w:rsid w:val="001A3E49"/>
    <w:rsid w:val="001A44F9"/>
    <w:rsid w:val="001B0610"/>
    <w:rsid w:val="001B179D"/>
    <w:rsid w:val="001B1904"/>
    <w:rsid w:val="001B25C9"/>
    <w:rsid w:val="001B2D4C"/>
    <w:rsid w:val="001B6043"/>
    <w:rsid w:val="001B6394"/>
    <w:rsid w:val="001B6B7D"/>
    <w:rsid w:val="001C2E87"/>
    <w:rsid w:val="001C77D0"/>
    <w:rsid w:val="001D1F0A"/>
    <w:rsid w:val="001D40EA"/>
    <w:rsid w:val="001D4474"/>
    <w:rsid w:val="001D5419"/>
    <w:rsid w:val="001D7D0A"/>
    <w:rsid w:val="001E1A3C"/>
    <w:rsid w:val="001E3813"/>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5297"/>
    <w:rsid w:val="00291461"/>
    <w:rsid w:val="00292AE8"/>
    <w:rsid w:val="002951EB"/>
    <w:rsid w:val="00296325"/>
    <w:rsid w:val="00297A1B"/>
    <w:rsid w:val="002A0670"/>
    <w:rsid w:val="002A6C89"/>
    <w:rsid w:val="002B0F87"/>
    <w:rsid w:val="002B2257"/>
    <w:rsid w:val="002B294F"/>
    <w:rsid w:val="002B32AE"/>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54F5"/>
    <w:rsid w:val="003C5F91"/>
    <w:rsid w:val="003D3A9E"/>
    <w:rsid w:val="003F2424"/>
    <w:rsid w:val="003F56A5"/>
    <w:rsid w:val="00404AFE"/>
    <w:rsid w:val="004123EF"/>
    <w:rsid w:val="0041664D"/>
    <w:rsid w:val="004177A8"/>
    <w:rsid w:val="004201F5"/>
    <w:rsid w:val="004230AC"/>
    <w:rsid w:val="00426AB5"/>
    <w:rsid w:val="00433C64"/>
    <w:rsid w:val="00440FBE"/>
    <w:rsid w:val="004427D1"/>
    <w:rsid w:val="00452F14"/>
    <w:rsid w:val="004567BD"/>
    <w:rsid w:val="00461147"/>
    <w:rsid w:val="004648E2"/>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72E35"/>
    <w:rsid w:val="00576234"/>
    <w:rsid w:val="005818A8"/>
    <w:rsid w:val="0058734B"/>
    <w:rsid w:val="005903F3"/>
    <w:rsid w:val="00591B89"/>
    <w:rsid w:val="005926B7"/>
    <w:rsid w:val="00593B03"/>
    <w:rsid w:val="00593F40"/>
    <w:rsid w:val="0059697A"/>
    <w:rsid w:val="005A5EEB"/>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11CD"/>
    <w:rsid w:val="00717EF8"/>
    <w:rsid w:val="0072164F"/>
    <w:rsid w:val="007253E7"/>
    <w:rsid w:val="0072736C"/>
    <w:rsid w:val="007315D8"/>
    <w:rsid w:val="00740BD1"/>
    <w:rsid w:val="00743CFD"/>
    <w:rsid w:val="007664C1"/>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F18"/>
    <w:rsid w:val="007C7B84"/>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4452"/>
    <w:rsid w:val="009E5993"/>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52CB"/>
    <w:rsid w:val="00AC5310"/>
    <w:rsid w:val="00AC7794"/>
    <w:rsid w:val="00AC7ECD"/>
    <w:rsid w:val="00AD009F"/>
    <w:rsid w:val="00AE6128"/>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3C93"/>
    <w:rsid w:val="00B42124"/>
    <w:rsid w:val="00B443CE"/>
    <w:rsid w:val="00B4555A"/>
    <w:rsid w:val="00B51CAF"/>
    <w:rsid w:val="00B53C56"/>
    <w:rsid w:val="00B60464"/>
    <w:rsid w:val="00B606EF"/>
    <w:rsid w:val="00B618F8"/>
    <w:rsid w:val="00B64133"/>
    <w:rsid w:val="00B72E2D"/>
    <w:rsid w:val="00B745CB"/>
    <w:rsid w:val="00B805BD"/>
    <w:rsid w:val="00B80E26"/>
    <w:rsid w:val="00B81DA7"/>
    <w:rsid w:val="00B873E2"/>
    <w:rsid w:val="00B91D3D"/>
    <w:rsid w:val="00B94E7D"/>
    <w:rsid w:val="00B97F08"/>
    <w:rsid w:val="00BA4663"/>
    <w:rsid w:val="00BA696B"/>
    <w:rsid w:val="00BA7212"/>
    <w:rsid w:val="00BC50CF"/>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164D"/>
    <w:rsid w:val="00DF1796"/>
    <w:rsid w:val="00DF270D"/>
    <w:rsid w:val="00DF3137"/>
    <w:rsid w:val="00DF3B28"/>
    <w:rsid w:val="00DF5606"/>
    <w:rsid w:val="00DF56EC"/>
    <w:rsid w:val="00E020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6B0E"/>
    <w:rsid w:val="00FE1B77"/>
    <w:rsid w:val="00FE40D8"/>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04114E-2C1D-4237-A5CE-3344A331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4614</TotalTime>
  <Pages>10</Pages>
  <Words>1622</Words>
  <Characters>9247</Characters>
  <Application>Microsoft Office Word</Application>
  <DocSecurity>0</DocSecurity>
  <Lines>77</Lines>
  <Paragraphs>21</Paragraphs>
  <ScaleCrop>false</ScaleCrop>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137</cp:revision>
  <cp:lastPrinted>2023-06-08T02:23:00Z</cp:lastPrinted>
  <dcterms:created xsi:type="dcterms:W3CDTF">2022-11-15T10:06:00Z</dcterms:created>
  <dcterms:modified xsi:type="dcterms:W3CDTF">2023-11-28T02:16:00Z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