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B95594" w14:textId="77777777" w:rsidR="00DA346D" w:rsidRPr="00DA346D" w:rsidRDefault="00DA346D" w:rsidP="00DA346D">
      <w:pPr>
        <w:snapToGrid w:val="0"/>
        <w:spacing w:line="580" w:lineRule="exact"/>
        <w:rPr>
          <w:rFonts w:ascii="黑体" w:eastAsia="黑体" w:hAnsi="黑体" w:hint="eastAsia"/>
          <w:sz w:val="32"/>
          <w:szCs w:val="32"/>
        </w:rPr>
      </w:pPr>
      <w:bookmarkStart w:id="0" w:name="_GoBack"/>
      <w:r w:rsidRPr="00DA346D">
        <w:rPr>
          <w:rFonts w:ascii="黑体" w:eastAsia="黑体" w:hAnsi="黑体" w:hint="eastAsia"/>
          <w:sz w:val="32"/>
          <w:szCs w:val="32"/>
        </w:rPr>
        <w:t>附件2</w:t>
      </w:r>
    </w:p>
    <w:bookmarkEnd w:id="0"/>
    <w:p w14:paraId="0314CCBC" w14:textId="77777777" w:rsidR="00DA346D" w:rsidRDefault="00DA346D" w:rsidP="00DA346D">
      <w:pPr>
        <w:snapToGrid w:val="0"/>
        <w:spacing w:line="580" w:lineRule="exact"/>
        <w:rPr>
          <w:rFonts w:ascii="仿宋_GB2312" w:eastAsia="仿宋_GB2312" w:hAnsi="黑体" w:hint="eastAsia"/>
          <w:sz w:val="32"/>
          <w:szCs w:val="32"/>
        </w:rPr>
      </w:pPr>
    </w:p>
    <w:p w14:paraId="4FFF0417" w14:textId="77777777" w:rsidR="00DA346D" w:rsidRPr="00A313C3" w:rsidRDefault="00DA346D" w:rsidP="00DA346D">
      <w:pPr>
        <w:widowControl/>
        <w:snapToGrid w:val="0"/>
        <w:spacing w:line="580" w:lineRule="exact"/>
        <w:jc w:val="center"/>
        <w:rPr>
          <w:rFonts w:ascii="宋体" w:eastAsia="宋体" w:hAnsi="宋体" w:hint="eastAsia"/>
          <w:b/>
          <w:bCs/>
          <w:sz w:val="44"/>
          <w:szCs w:val="32"/>
        </w:rPr>
      </w:pPr>
      <w:r w:rsidRPr="00A313C3">
        <w:rPr>
          <w:rFonts w:ascii="宋体" w:eastAsia="宋体" w:hAnsi="宋体" w:hint="eastAsia"/>
          <w:b/>
          <w:bCs/>
          <w:sz w:val="44"/>
          <w:szCs w:val="32"/>
        </w:rPr>
        <w:t>《大连商品交易所交易细则》修正案</w:t>
      </w:r>
    </w:p>
    <w:p w14:paraId="054CBE41" w14:textId="77777777" w:rsidR="00DA346D" w:rsidRPr="00F46207" w:rsidRDefault="00DA346D" w:rsidP="00DA346D">
      <w:pPr>
        <w:widowControl/>
        <w:snapToGrid w:val="0"/>
        <w:spacing w:line="580" w:lineRule="exact"/>
        <w:jc w:val="center"/>
        <w:rPr>
          <w:rFonts w:ascii="仿宋_GB2312" w:eastAsia="仿宋_GB2312" w:hAnsi="宋体" w:cs="宋体"/>
          <w:kern w:val="0"/>
          <w:sz w:val="32"/>
          <w:szCs w:val="32"/>
        </w:rPr>
      </w:pPr>
    </w:p>
    <w:p w14:paraId="6C2B6A33" w14:textId="77777777" w:rsidR="00DA346D" w:rsidRPr="00F46207" w:rsidRDefault="00DA346D" w:rsidP="00DA346D">
      <w:pPr>
        <w:snapToGrid w:val="0"/>
        <w:spacing w:line="580" w:lineRule="exact"/>
        <w:ind w:firstLineChars="200" w:firstLine="640"/>
        <w:rPr>
          <w:rFonts w:ascii="仿宋_GB2312" w:eastAsia="仿宋_GB2312" w:hAnsi="仿宋_GB2312" w:cs="仿宋_GB2312"/>
          <w:sz w:val="32"/>
          <w:szCs w:val="30"/>
        </w:rPr>
      </w:pPr>
      <w:r w:rsidRPr="00F46207">
        <w:rPr>
          <w:rFonts w:ascii="仿宋_GB2312" w:eastAsia="仿宋_GB2312" w:hAnsi="仿宋_GB2312" w:cs="仿宋_GB2312" w:hint="eastAsia"/>
          <w:sz w:val="32"/>
          <w:szCs w:val="30"/>
        </w:rPr>
        <w:t>第三十八条</w:t>
      </w:r>
      <w:r w:rsidRPr="00F46207">
        <w:rPr>
          <w:rFonts w:ascii="仿宋_GB2312" w:eastAsia="仿宋_GB2312" w:hAnsi="仿宋_GB2312" w:cs="仿宋_GB2312"/>
          <w:sz w:val="32"/>
          <w:szCs w:val="30"/>
        </w:rPr>
        <w:t xml:space="preserve"> ……</w:t>
      </w:r>
    </w:p>
    <w:p w14:paraId="58961545" w14:textId="77777777" w:rsidR="00DA346D" w:rsidRDefault="00DA346D" w:rsidP="00DA346D">
      <w:pPr>
        <w:snapToGrid w:val="0"/>
        <w:spacing w:line="580" w:lineRule="exact"/>
        <w:ind w:firstLineChars="200" w:firstLine="640"/>
        <w:rPr>
          <w:rFonts w:ascii="仿宋_GB2312" w:eastAsia="仿宋_GB2312" w:hAnsi="仿宋_GB2312" w:cs="仿宋_GB2312" w:hint="eastAsia"/>
          <w:sz w:val="32"/>
          <w:szCs w:val="30"/>
        </w:rPr>
      </w:pPr>
      <w:r w:rsidRPr="00F46207">
        <w:rPr>
          <w:rFonts w:ascii="仿宋_GB2312" w:eastAsia="仿宋_GB2312" w:hAnsi="仿宋_GB2312" w:cs="仿宋_GB2312" w:hint="eastAsia"/>
          <w:sz w:val="32"/>
          <w:szCs w:val="30"/>
        </w:rPr>
        <w:t>鸡蛋合约交易指令每次最大下单数量为</w:t>
      </w:r>
      <w:r w:rsidRPr="00F46207">
        <w:rPr>
          <w:rFonts w:ascii="仿宋_GB2312" w:eastAsia="仿宋_GB2312" w:hAnsi="仿宋_GB2312" w:cs="仿宋_GB2312"/>
          <w:sz w:val="32"/>
          <w:szCs w:val="30"/>
        </w:rPr>
        <w:t>300手，焦炭合约交易指令每次最大下单数量为500手。黄大豆1号、黄大豆2号、豆粕、豆油、棕榈油、线型低密度聚乙烯、聚氯乙烯、焦煤、铁矿石、纤维板、胶合板、聚丙烯、玉米淀粉</w:t>
      </w:r>
      <w:r w:rsidRPr="00F46207">
        <w:rPr>
          <w:rFonts w:ascii="仿宋_GB2312" w:eastAsia="仿宋_GB2312" w:hAnsi="仿宋_GB2312" w:cs="仿宋_GB2312"/>
          <w:sz w:val="32"/>
          <w:szCs w:val="30"/>
          <w:highlight w:val="lightGray"/>
        </w:rPr>
        <w:t>、乙二醇</w:t>
      </w:r>
      <w:r w:rsidRPr="00F46207">
        <w:rPr>
          <w:rFonts w:ascii="仿宋_GB2312" w:eastAsia="仿宋_GB2312" w:hAnsi="仿宋_GB2312" w:cs="仿宋_GB2312"/>
          <w:sz w:val="32"/>
          <w:szCs w:val="30"/>
        </w:rPr>
        <w:t>合约交易指令每次最大下单数量为1000手，玉米合约交易指令每次最大下单数量为2000手。</w:t>
      </w:r>
    </w:p>
    <w:p w14:paraId="10BAE3E4" w14:textId="77777777" w:rsidR="00DA346D" w:rsidRDefault="00DA346D" w:rsidP="00DA346D">
      <w:pPr>
        <w:snapToGrid w:val="0"/>
        <w:spacing w:line="580" w:lineRule="exact"/>
        <w:ind w:firstLineChars="200" w:firstLine="640"/>
        <w:rPr>
          <w:rFonts w:ascii="仿宋_GB2312" w:eastAsia="仿宋_GB2312" w:hAnsi="仿宋_GB2312" w:cs="仿宋_GB2312" w:hint="eastAsia"/>
          <w:sz w:val="32"/>
          <w:szCs w:val="30"/>
        </w:rPr>
      </w:pPr>
    </w:p>
    <w:p w14:paraId="6CC563EA" w14:textId="77777777" w:rsidR="00DA346D" w:rsidRPr="009F5AF3" w:rsidRDefault="00DA346D" w:rsidP="00DA346D">
      <w:pPr>
        <w:widowControl/>
        <w:spacing w:line="360" w:lineRule="auto"/>
        <w:jc w:val="left"/>
        <w:rPr>
          <w:rFonts w:ascii="仿宋_GB2312" w:eastAsia="仿宋_GB2312" w:hAnsi="Times New Roman" w:cs="Calibri"/>
          <w:color w:val="000000"/>
          <w:kern w:val="0"/>
          <w:sz w:val="24"/>
          <w:szCs w:val="24"/>
        </w:rPr>
        <w:sectPr w:rsidR="00DA346D" w:rsidRPr="009F5AF3" w:rsidSect="00EC0DE7">
          <w:footerReference w:type="default" r:id="rId9"/>
          <w:pgSz w:w="11906" w:h="16838"/>
          <w:pgMar w:top="1440" w:right="1800" w:bottom="1440" w:left="1800" w:header="851" w:footer="992" w:gutter="0"/>
          <w:cols w:space="425"/>
          <w:docGrid w:type="lines" w:linePitch="312"/>
        </w:sectPr>
      </w:pPr>
      <w:r w:rsidRPr="009F5AF3">
        <w:rPr>
          <w:rFonts w:ascii="仿宋_GB2312" w:eastAsia="仿宋_GB2312" w:hAnsi="Times New Roman" w:cs="Calibri" w:hint="eastAsia"/>
          <w:color w:val="000000"/>
          <w:kern w:val="0"/>
          <w:sz w:val="24"/>
          <w:szCs w:val="24"/>
        </w:rPr>
        <w:t>注：阴影部分为新增内容，“……”（省略号）含义为该条款未修改的其他内容。</w:t>
      </w:r>
    </w:p>
    <w:p w14:paraId="6B96E9C9" w14:textId="77777777" w:rsidR="00DA346D" w:rsidRPr="00A313C3" w:rsidRDefault="00DA346D" w:rsidP="00DA346D">
      <w:pPr>
        <w:widowControl/>
        <w:spacing w:line="560" w:lineRule="exact"/>
        <w:jc w:val="center"/>
        <w:rPr>
          <w:rFonts w:ascii="宋体" w:eastAsia="宋体" w:hAnsi="宋体" w:cs="Calibri"/>
          <w:b/>
          <w:color w:val="000000"/>
          <w:kern w:val="0"/>
          <w:sz w:val="44"/>
          <w:szCs w:val="44"/>
        </w:rPr>
      </w:pPr>
      <w:r w:rsidRPr="00A313C3">
        <w:rPr>
          <w:rFonts w:ascii="宋体" w:eastAsia="宋体" w:hAnsi="宋体" w:cs="Calibri" w:hint="eastAsia"/>
          <w:b/>
          <w:color w:val="000000"/>
          <w:kern w:val="0"/>
          <w:sz w:val="44"/>
          <w:szCs w:val="44"/>
        </w:rPr>
        <w:lastRenderedPageBreak/>
        <w:t>《大连商品交易所交易细则》</w:t>
      </w:r>
    </w:p>
    <w:p w14:paraId="1793C5E0" w14:textId="77777777" w:rsidR="00DA346D" w:rsidRPr="00A313C3" w:rsidRDefault="00DA346D" w:rsidP="00DA346D">
      <w:pPr>
        <w:widowControl/>
        <w:spacing w:line="560" w:lineRule="exact"/>
        <w:jc w:val="center"/>
        <w:rPr>
          <w:rFonts w:ascii="宋体" w:eastAsia="宋体" w:hAnsi="宋体" w:cs="Calibri"/>
          <w:color w:val="000000"/>
          <w:kern w:val="0"/>
          <w:sz w:val="32"/>
          <w:szCs w:val="32"/>
        </w:rPr>
      </w:pPr>
      <w:r w:rsidRPr="00A313C3">
        <w:rPr>
          <w:rFonts w:ascii="宋体" w:eastAsia="宋体" w:hAnsi="宋体" w:cs="Calibri" w:hint="eastAsia"/>
          <w:b/>
          <w:color w:val="000000"/>
          <w:kern w:val="0"/>
          <w:sz w:val="44"/>
          <w:szCs w:val="44"/>
        </w:rPr>
        <w:t>（修订稿）</w:t>
      </w:r>
    </w:p>
    <w:p w14:paraId="1B1ACD9C" w14:textId="77777777" w:rsidR="00DA346D" w:rsidRPr="008359FD" w:rsidRDefault="00DA346D" w:rsidP="00DA346D">
      <w:pPr>
        <w:snapToGrid w:val="0"/>
        <w:spacing w:line="580" w:lineRule="exact"/>
        <w:rPr>
          <w:rFonts w:ascii="仿宋_GB2312" w:eastAsia="仿宋_GB2312" w:hAnsi="仿宋_GB2312" w:cs="仿宋_GB2312" w:hint="eastAsia"/>
          <w:sz w:val="32"/>
          <w:szCs w:val="30"/>
        </w:rPr>
      </w:pPr>
    </w:p>
    <w:p w14:paraId="6E4EAC17"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第一章 总 则</w:t>
      </w:r>
    </w:p>
    <w:p w14:paraId="5B2CE71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第一条 为了规范期货交易行为，保护期货交易各方的合法权益，保障大连商品交易所（以下简称交易所）期货交易的顺利进行，根据《大连商品交易所交易规则》，制定本细则。</w:t>
      </w:r>
    </w:p>
    <w:p w14:paraId="64A942A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第二条  交易所、会员、境外经纪机构、客户应当遵守本细则。</w:t>
      </w:r>
    </w:p>
    <w:p w14:paraId="4C6DF0F5"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第二章 席位管理</w:t>
      </w:r>
    </w:p>
    <w:p w14:paraId="30C1B20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第三条 交易席位是会员将交易指令输入交易所计算机交易系统参与交易的通道。</w:t>
      </w:r>
    </w:p>
    <w:p w14:paraId="11D6C9C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交易席位分为场内交易席位和远程交易席位。远程交易是指会员在其营业场所，通过与交易所计算机交易系统联网的通信系统直接输入交易指令、参与交易所交易的一种交易方式。</w:t>
      </w:r>
    </w:p>
    <w:p w14:paraId="7806881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第四条 会员在取得会员资格后，即取得一个场内交易席位。经交易所批准，可以增加交易席位。</w:t>
      </w:r>
    </w:p>
    <w:p w14:paraId="2DA0B7A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会员增加交易席位应当向交易所缴纳席位使用费，具体标准由交易所制定并公布。</w:t>
      </w:r>
    </w:p>
    <w:p w14:paraId="09B3142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第五条 会员增加交易席位仅是增加该会员的交易通道，交易所对会员的持仓限额、风险控制及其他有关方面的管理规定不变。</w:t>
      </w:r>
    </w:p>
    <w:p w14:paraId="36181D3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lastRenderedPageBreak/>
        <w:t xml:space="preserve">　　第六条 会员申请增加场内交易席位，应当具备以下条件：</w:t>
      </w:r>
    </w:p>
    <w:p w14:paraId="56269289"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（一）经营状况良好；</w:t>
      </w:r>
    </w:p>
    <w:p w14:paraId="20D088C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（二）自申请之日起前三个月成交量连续排名前50位，或者从事交易所期货交易的单量较多；</w:t>
      </w:r>
    </w:p>
    <w:p w14:paraId="7B1B3F0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（三）交易所要求应具备的其他条件。</w:t>
      </w:r>
    </w:p>
    <w:p w14:paraId="5F4E1DD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第七条 会员申请增加场内交易席位, 应当通过会员服务系统与交易所签订协议，并向交易所提交增加交易席位申请，申请内容主要包括席位类型、接受回报范围等。</w:t>
      </w:r>
    </w:p>
    <w:p w14:paraId="52DB14A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必要时，交易所可以要求会员提供其他资料。</w:t>
      </w:r>
    </w:p>
    <w:p w14:paraId="39B4EF5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第八条 增加场内交易席位申请经交易所同意后，会员应当在10个交易日内到交易所办理有关入场手续。无故逾期的，交易所有权取消其申请增加的场内交易席位。</w:t>
      </w:r>
    </w:p>
    <w:p w14:paraId="6D4EA2D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第九条 会员申请远程交易席位，应当具备下列条件：</w:t>
      </w:r>
    </w:p>
    <w:p w14:paraId="7CC8E6F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（一）经营状况良好；</w:t>
      </w:r>
    </w:p>
    <w:p w14:paraId="4251970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（二）申请经营机构所在地的通讯、资金划拨条件能满足交易所期货交易运作要求；</w:t>
      </w:r>
    </w:p>
    <w:p w14:paraId="4F1BC6C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（三）有健全的远程交易管理制度；</w:t>
      </w:r>
    </w:p>
    <w:p w14:paraId="77A594F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（四）远程交易系统的建设和管理应符合中国证监会和交易所相关技术管理规范的要求。</w:t>
      </w:r>
    </w:p>
    <w:p w14:paraId="265084F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第十条 会员申请远程交易席位，应当通过会员服务系统与交易所签订协议，并向交易所提交下列材料：</w:t>
      </w:r>
    </w:p>
    <w:p w14:paraId="7A09212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（一）增加交易席位申请，申请内容主要包括席位类型、</w:t>
      </w:r>
      <w:r w:rsidRPr="008359FD">
        <w:rPr>
          <w:rFonts w:ascii="仿宋_GB2312" w:eastAsia="仿宋_GB2312" w:hAnsi="仿宋_GB2312" w:cs="仿宋_GB2312" w:hint="eastAsia"/>
          <w:sz w:val="32"/>
          <w:szCs w:val="30"/>
        </w:rPr>
        <w:lastRenderedPageBreak/>
        <w:t>接受回报范围、安装地址、营业执照号等；</w:t>
      </w:r>
    </w:p>
    <w:p w14:paraId="4B4B102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（二）申请经营机构营业执照复印件；</w:t>
      </w:r>
    </w:p>
    <w:p w14:paraId="19B72FE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（三）远程交易系统基础设施及人员情况表；</w:t>
      </w:r>
    </w:p>
    <w:p w14:paraId="23B4E62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（四）交易所要求提供的其他资料。</w:t>
      </w:r>
    </w:p>
    <w:p w14:paraId="6DEDC246"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第十一条 交易所应当自收到会员提交的远程交易席位申请材料之日起20个交易日内作出批复。</w:t>
      </w:r>
    </w:p>
    <w:p w14:paraId="5542F76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第十二条 会员应当在收到交易所同意其进行远程交易的批复后10个交易日内，向交易所缴纳席位使用费。无故逾期的，交易所有权取消其申请的远程交易席位。</w:t>
      </w:r>
    </w:p>
    <w:p w14:paraId="051A33E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第十三条 会员提出远程交易系统开通申请后，由交易所通知会员具体开通日期。</w:t>
      </w:r>
    </w:p>
    <w:p w14:paraId="5946576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第十四条 开通远程交易的会员，其场内交易席位继续保留，在交易时间内，会员远程交易席位不能正常使用时，会员应当通过场内交易席位进行交易。</w:t>
      </w:r>
    </w:p>
    <w:p w14:paraId="7A93B12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会员如不委派出市代表进场，远程交易席位不能正常使用时，后果自负。</w:t>
      </w:r>
    </w:p>
    <w:p w14:paraId="0F0021D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第十五条 会员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p>
    <w:p w14:paraId="131F654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第十六条　有下列情况之一的，交易所可以取消会员增</w:t>
      </w:r>
      <w:r w:rsidRPr="008359FD">
        <w:rPr>
          <w:rFonts w:ascii="仿宋_GB2312" w:eastAsia="仿宋_GB2312" w:hAnsi="仿宋_GB2312" w:cs="仿宋_GB2312" w:hint="eastAsia"/>
          <w:sz w:val="32"/>
          <w:szCs w:val="30"/>
        </w:rPr>
        <w:lastRenderedPageBreak/>
        <w:t>加的交易席位：</w:t>
      </w:r>
    </w:p>
    <w:p w14:paraId="367C969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（一）申请材料不真实的；</w:t>
      </w:r>
    </w:p>
    <w:p w14:paraId="64AA74E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（二）将席位全部或者部分以出租或者承包等形式交由其他机构和个人使用的；</w:t>
      </w:r>
    </w:p>
    <w:p w14:paraId="7A547FE9"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（三）管理混乱或者有严重违规行为的；</w:t>
      </w:r>
    </w:p>
    <w:p w14:paraId="16BC095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（四）已不具备使用增加交易席位条件的；</w:t>
      </w:r>
    </w:p>
    <w:p w14:paraId="46BF975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（五）利用增加交易席位从事交易以外的其他活动的；</w:t>
      </w:r>
    </w:p>
    <w:p w14:paraId="3F1DAFA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（六）会员申请取消的；</w:t>
      </w:r>
    </w:p>
    <w:p w14:paraId="70E9A68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（七）交易所认为应予取消的其他情况。</w:t>
      </w:r>
    </w:p>
    <w:p w14:paraId="4EA7C1E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第十七条 会员终止使用或者被交易所取消增加交易席位的，使用费不予返还。</w:t>
      </w:r>
    </w:p>
    <w:p w14:paraId="14C74BE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第十八条 如会员丧失交易所会员资格，则其拥有的交易席位全部终止使用。</w:t>
      </w:r>
    </w:p>
    <w:p w14:paraId="3CB6EC1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第十九条 由于计算机终端、通讯系统等交易设施发生故障，致使10%以上的会员不能交易时，交易所应暂停交易，直至故障消除为止。</w:t>
      </w:r>
    </w:p>
    <w:p w14:paraId="508B7FF9"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第二十条 交易所在夜盘交易小节不办理席位申请、变更和撤销业务。</w:t>
      </w:r>
    </w:p>
    <w:p w14:paraId="12B962F4"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第三章 出市代表管理</w:t>
      </w:r>
    </w:p>
    <w:p w14:paraId="6D15E8E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第二十一条 出市代表是受会员委派并代表会员在交易大厅接受本会员的交易指令进行期货交易的人员，其在交易大厅与交易有关的行为由会员负责。</w:t>
      </w:r>
    </w:p>
    <w:p w14:paraId="7C94E3F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第二十二条 办理出市代表证件应当通过会员服务系统</w:t>
      </w:r>
      <w:r w:rsidRPr="008359FD">
        <w:rPr>
          <w:rFonts w:ascii="仿宋_GB2312" w:eastAsia="仿宋_GB2312" w:hAnsi="仿宋_GB2312" w:cs="仿宋_GB2312" w:hint="eastAsia"/>
          <w:sz w:val="32"/>
          <w:szCs w:val="30"/>
        </w:rPr>
        <w:lastRenderedPageBreak/>
        <w:t>录入交易所要求的身份证、期货从业资格证等相关信息。</w:t>
      </w:r>
    </w:p>
    <w:p w14:paraId="76F9A8D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第二十三条 每个交易席位限两名出市代表进场，特殊情况应当经交易所批准。</w:t>
      </w:r>
    </w:p>
    <w:p w14:paraId="62CEDF3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第二十四条 出市代表可在每个交易日开市前30分钟内进入交易大厅做开市准备，收市后30分钟内离开交易大厅。出市代表不得随意出入交易大厅，特殊情况应当经场务管理人员批准。</w:t>
      </w:r>
    </w:p>
    <w:p w14:paraId="3555900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交易期间出市代表不能空缺，因空缺出现的后果由会员负责。</w:t>
      </w:r>
    </w:p>
    <w:p w14:paraId="2E842B79"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第二十五条 出市代表应当佩带有效证件、着指定的专用服装出入交易大厅。</w:t>
      </w:r>
    </w:p>
    <w:p w14:paraId="1F84984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第二十六条 出市代表应当爱护交易大厅内的各种设施，严格按照交易所有关交易大厅计算机设备管理规定操作,损坏者要照价赔偿并按有关规定处罚。</w:t>
      </w:r>
    </w:p>
    <w:p w14:paraId="3CD19A2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第二十七条 出市代表携带交易设备进出交易大厅应当经交易所批准。</w:t>
      </w:r>
    </w:p>
    <w:p w14:paraId="5014A2C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第二十八条 出市代表应当服从交易所场务管理人员的管理。</w:t>
      </w:r>
    </w:p>
    <w:p w14:paraId="42B4FAB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第二十九条 出市代表应当将交易所文件、通知等材料及时送交所在会员。</w:t>
      </w:r>
    </w:p>
    <w:p w14:paraId="340228B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第三十条 会员应当妥善管理交易密码，因交易密码泄露造成的后果由会员承担。</w:t>
      </w:r>
    </w:p>
    <w:p w14:paraId="51E0310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第三十一条 出市代表不得有下列行为：</w:t>
      </w:r>
    </w:p>
    <w:p w14:paraId="20C660E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lastRenderedPageBreak/>
        <w:t xml:space="preserve">　　（一）接受其他单位、个人的交易指令；</w:t>
      </w:r>
    </w:p>
    <w:p w14:paraId="7580DCC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（二）为其他单位、个人提供咨询意见；</w:t>
      </w:r>
    </w:p>
    <w:p w14:paraId="6BA1B99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（三）为自己进行期货交易；</w:t>
      </w:r>
    </w:p>
    <w:p w14:paraId="3659E23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（四）借用、盗用其他会员的电话或交易终端；</w:t>
      </w:r>
    </w:p>
    <w:p w14:paraId="31477A3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（五）伪造、转借出市代表证；</w:t>
      </w:r>
    </w:p>
    <w:p w14:paraId="1E2993D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（六）交易所禁止的其他行为。</w:t>
      </w:r>
    </w:p>
    <w:p w14:paraId="3C184CA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第三十二条 会员辞退、更换出市代表或者出市代表离开原会员应当及时到交易所办理撤销委托手续，并交还出市代表证。会员如未能及时收回出市代表证，应当通知交易所有关部门，得到回执后，即可免除会员责任。因未及时办理撤销手续或者退回出市代表证所造成的后果由会员承担。</w:t>
      </w:r>
    </w:p>
    <w:p w14:paraId="0B40B3E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第三十三条 除会员合并、分立、破产以及经原会员同意外，被撤销出市代表授权的人员，交易所在三个月内不受理其到其他会员处任出市代表的注册申请。</w:t>
      </w:r>
    </w:p>
    <w:p w14:paraId="4C43531A"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第四章 交易时间、行情信息、交易指令和竞价原则</w:t>
      </w:r>
    </w:p>
    <w:p w14:paraId="4DD7FBA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第三十四条 期货交易每周设5个交易日（遇国家法定假日除外），每一个交易日分为夜盘和日盘交易时段，夜盘交易设一个夜盘交易小节，具体交易时间由交易所另行通知；日盘交易分三个交易小节，分别为第一节9：00-10：15、第二节10：30-11：30和第三节13：30-15：00。开展夜盘交易的品种由交易所另行公布。</w:t>
      </w:r>
    </w:p>
    <w:p w14:paraId="71DD8B5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会员在完成人员配备、交易设施和业务制度等各项准备工作后，方可开展夜盘交易。夜盘交易只能通过远程交易席</w:t>
      </w:r>
      <w:r w:rsidRPr="008359FD">
        <w:rPr>
          <w:rFonts w:ascii="仿宋_GB2312" w:eastAsia="仿宋_GB2312" w:hAnsi="仿宋_GB2312" w:cs="仿宋_GB2312" w:hint="eastAsia"/>
          <w:sz w:val="32"/>
          <w:szCs w:val="30"/>
        </w:rPr>
        <w:lastRenderedPageBreak/>
        <w:t>位进行。</w:t>
      </w:r>
    </w:p>
    <w:p w14:paraId="5B37240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第三十五条 交易所应当及时发布以下与交易有关的信息：</w:t>
      </w:r>
    </w:p>
    <w:p w14:paraId="6D6E0CF6"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开盘价。开盘价是指某一期货合约开市前五分钟内经集合竞价产生的成交价格。集合竞价未产生成交价格的，以开市后竞价交易第一笔成交价为开盘价。第一笔成交价格按第四十五条规定确定，此时前一成交价为上一交易日收盘价，新上市合约前一成交价为挂盘基准价。</w:t>
      </w:r>
    </w:p>
    <w:p w14:paraId="31F4333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（二）收盘价。收盘价是指某一期货合约当日交易的最后一笔成交价格。无成交合约当日收盘价为当日结算价。</w:t>
      </w:r>
    </w:p>
    <w:p w14:paraId="005D12D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（三）最高价。最高价是指一定时间内某一期货合约成交价中的最高成交价格。</w:t>
      </w:r>
    </w:p>
    <w:p w14:paraId="0DA9218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（四）最低价。最低价是指一定时间内某一期货合约成交价中的最低成交价格。</w:t>
      </w:r>
    </w:p>
    <w:p w14:paraId="2C789E0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（五）最新价。最新价是指某交易日某一期货合约交易期间的即时成交价格。</w:t>
      </w:r>
    </w:p>
    <w:p w14:paraId="2A52394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（六）涨跌。涨跌是指某交易日某一期货合约交易期间的最新价与上一交易日结算价之差。</w:t>
      </w:r>
    </w:p>
    <w:p w14:paraId="2F6D201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（七）最高买价。最高买价是指某一期货合约当日买方申请买入的即时最高价格。</w:t>
      </w:r>
    </w:p>
    <w:p w14:paraId="087488B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（八）最低卖价。最低卖价是指某一期货合约当日卖方申请卖出的即时最低价格。</w:t>
      </w:r>
    </w:p>
    <w:p w14:paraId="79ACB79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（九）申买量。申买量是指某一期货合约当日交易所交</w:t>
      </w:r>
      <w:r w:rsidRPr="008359FD">
        <w:rPr>
          <w:rFonts w:ascii="仿宋_GB2312" w:eastAsia="仿宋_GB2312" w:hAnsi="仿宋_GB2312" w:cs="仿宋_GB2312" w:hint="eastAsia"/>
          <w:sz w:val="32"/>
          <w:szCs w:val="30"/>
        </w:rPr>
        <w:lastRenderedPageBreak/>
        <w:t>易系统中未成交的最高价位申请买入的下单数量。</w:t>
      </w:r>
    </w:p>
    <w:p w14:paraId="720B9B5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（十）申卖量。申卖量是指某一期货合约当日交易所交易系统中未成交的最低价位申请卖出的下单数量。</w:t>
      </w:r>
    </w:p>
    <w:p w14:paraId="4252DB6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十一）结算价。结算价是指某一期货合约当日交易期间成交价格按成交量的加权平均价。无成交合约当日结算价按照《大连商品交易所结算细则》相关规定确定。结算价是进行当日未平仓合约盈亏结算和确定下一交易日涨跌停板幅度的依据。</w:t>
      </w:r>
    </w:p>
    <w:p w14:paraId="7FB6E76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（十二）成交量。成交量是指某一合约在当日所有成交合约的双边数量。</w:t>
      </w:r>
    </w:p>
    <w:p w14:paraId="26D98D4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（十三）持仓量。持仓量是指期货交易者所持有的未平仓合约的双边数量。</w:t>
      </w:r>
    </w:p>
    <w:p w14:paraId="030EA61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第三十六条 新上市合约的挂盘基准价由交易所确定并提前公布。挂盘基准价是确定新上市合约第一个交易日涨（跌）停板的依据。</w:t>
      </w:r>
    </w:p>
    <w:p w14:paraId="6407193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第三十七条 新上市合约的涨跌停板为合约规定的涨跌停板的两倍，如有成交，于下一交易日恢复到合约规定的涨跌停板；如当日无成交，下一交易日继续执行前一交易日涨跌停板。如连续三个交易日无成交，交易所可以对挂盘基准价作适当调整。</w:t>
      </w:r>
    </w:p>
    <w:p w14:paraId="7F5E86A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对曾经有成交而目前无持仓的合约，交易所可以公布新的基准价。</w:t>
      </w:r>
    </w:p>
    <w:p w14:paraId="685FBBC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第三十八条 交易指令的种类:</w:t>
      </w:r>
    </w:p>
    <w:p w14:paraId="3BB4CEA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lastRenderedPageBreak/>
        <w:t xml:space="preserve">　　（一）限价指令：指交易所计算机撮合系统执行指令时按限定价格或更好价格成交的指令。</w:t>
      </w:r>
    </w:p>
    <w:p w14:paraId="22682646"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（二）市价指令：指交易所计算机撮合系统执行指令时以涨（跌）停板价格参与交易的买（卖）指令。</w:t>
      </w:r>
    </w:p>
    <w:p w14:paraId="109103D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（三）市价止损（盈）指令：指当市场价格触及客户预先设定触发价格时，交易所计算机撮合系统将其立即转为市价指令的指令。</w:t>
      </w:r>
    </w:p>
    <w:p w14:paraId="264D936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（四）限价止损（盈）指令：指当市场价格触及客户预先设定触发价格时，交易所计算机撮合系统将其立即转为限价指令的指令。</w:t>
      </w:r>
    </w:p>
    <w:p w14:paraId="091D45D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五）套利交易指令：交易所对指定合约提供套利交易指令，交易所计算机撮合系统收到指令后将指令内各成分合约按规定比例同时成交。套利交易指令分为同品种跨期套利和跨品种套利交易指令，各指令具体内容如下：</w:t>
      </w:r>
    </w:p>
    <w:p w14:paraId="430C2384" w14:textId="77777777" w:rsidR="00DA346D" w:rsidRPr="005A71B4" w:rsidRDefault="00DA346D" w:rsidP="00DA346D">
      <w:pPr>
        <w:rPr>
          <w:rFonts w:ascii="宋体" w:hAnsi="宋体" w:cs="宋体"/>
          <w:kern w:val="0"/>
          <w:sz w:val="24"/>
          <w:szCs w:val="24"/>
        </w:rPr>
      </w:pPr>
      <w:r w:rsidRPr="008359FD">
        <w:rPr>
          <w:rFonts w:ascii="仿宋_GB2312" w:eastAsia="仿宋_GB2312" w:hAnsi="仿宋_GB2312" w:cs="仿宋_GB2312" w:hint="eastAsia"/>
          <w:sz w:val="32"/>
          <w:szCs w:val="30"/>
        </w:rPr>
        <w:t xml:space="preserve">　　</w:t>
      </w:r>
    </w:p>
    <w:tbl>
      <w:tblPr>
        <w:tblW w:w="10128" w:type="dxa"/>
        <w:tblInd w:w="-889" w:type="dxa"/>
        <w:shd w:val="clear" w:color="auto" w:fill="FFFFFF"/>
        <w:tblCellMar>
          <w:left w:w="0" w:type="dxa"/>
          <w:right w:w="0" w:type="dxa"/>
        </w:tblCellMar>
        <w:tblLook w:val="04A0" w:firstRow="1" w:lastRow="0" w:firstColumn="1" w:lastColumn="0" w:noHBand="0" w:noVBand="1"/>
      </w:tblPr>
      <w:tblGrid>
        <w:gridCol w:w="2083"/>
        <w:gridCol w:w="3914"/>
        <w:gridCol w:w="4131"/>
      </w:tblGrid>
      <w:tr w:rsidR="00DA346D" w:rsidRPr="005A71B4" w14:paraId="6A89435D" w14:textId="77777777" w:rsidTr="005028F1">
        <w:trPr>
          <w:trHeight w:val="538"/>
        </w:trPr>
        <w:tc>
          <w:tcPr>
            <w:tcW w:w="208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3BB4875" w14:textId="77777777" w:rsidR="00DA346D" w:rsidRPr="005A71B4" w:rsidRDefault="00DA346D" w:rsidP="005028F1">
            <w:pPr>
              <w:widowControl/>
              <w:jc w:val="center"/>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名 称</w:t>
            </w:r>
          </w:p>
        </w:tc>
        <w:tc>
          <w:tcPr>
            <w:tcW w:w="3914" w:type="dxa"/>
            <w:tcBorders>
              <w:top w:val="single" w:sz="4" w:space="0" w:color="auto"/>
              <w:left w:val="nil"/>
              <w:bottom w:val="single" w:sz="4" w:space="0" w:color="auto"/>
              <w:right w:val="single" w:sz="4" w:space="0" w:color="auto"/>
            </w:tcBorders>
            <w:shd w:val="clear" w:color="auto" w:fill="FFFFFF"/>
            <w:vAlign w:val="center"/>
            <w:hideMark/>
          </w:tcPr>
          <w:p w14:paraId="02D7919D" w14:textId="77777777" w:rsidR="00DA346D" w:rsidRPr="005A71B4" w:rsidRDefault="00DA346D" w:rsidP="005028F1">
            <w:pPr>
              <w:widowControl/>
              <w:jc w:val="center"/>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交易方式（从买方角度）</w:t>
            </w:r>
          </w:p>
        </w:tc>
        <w:tc>
          <w:tcPr>
            <w:tcW w:w="4131" w:type="dxa"/>
            <w:tcBorders>
              <w:top w:val="single" w:sz="4" w:space="0" w:color="auto"/>
              <w:left w:val="nil"/>
              <w:bottom w:val="single" w:sz="4" w:space="0" w:color="auto"/>
              <w:right w:val="single" w:sz="4" w:space="0" w:color="auto"/>
            </w:tcBorders>
            <w:shd w:val="clear" w:color="auto" w:fill="FFFFFF"/>
            <w:vAlign w:val="center"/>
            <w:hideMark/>
          </w:tcPr>
          <w:p w14:paraId="22F9F719" w14:textId="77777777" w:rsidR="00DA346D" w:rsidRPr="005A71B4" w:rsidRDefault="00DA346D" w:rsidP="005028F1">
            <w:pPr>
              <w:widowControl/>
              <w:jc w:val="center"/>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报价方式</w:t>
            </w:r>
          </w:p>
        </w:tc>
      </w:tr>
      <w:tr w:rsidR="00DA346D" w:rsidRPr="005A71B4" w14:paraId="2A600813" w14:textId="77777777" w:rsidTr="005028F1">
        <w:tc>
          <w:tcPr>
            <w:tcW w:w="2083" w:type="dxa"/>
            <w:tcBorders>
              <w:top w:val="nil"/>
              <w:left w:val="single" w:sz="4" w:space="0" w:color="auto"/>
              <w:bottom w:val="single" w:sz="4" w:space="0" w:color="auto"/>
              <w:right w:val="single" w:sz="4" w:space="0" w:color="auto"/>
            </w:tcBorders>
            <w:shd w:val="clear" w:color="auto" w:fill="FFFFFF"/>
            <w:vAlign w:val="center"/>
            <w:hideMark/>
          </w:tcPr>
          <w:p w14:paraId="2EEA29FE"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同品种跨期套利交易指令</w:t>
            </w:r>
          </w:p>
        </w:tc>
        <w:tc>
          <w:tcPr>
            <w:tcW w:w="3914" w:type="dxa"/>
            <w:tcBorders>
              <w:top w:val="nil"/>
              <w:left w:val="nil"/>
              <w:bottom w:val="single" w:sz="4" w:space="0" w:color="auto"/>
              <w:right w:val="single" w:sz="4" w:space="0" w:color="auto"/>
            </w:tcBorders>
            <w:shd w:val="clear" w:color="auto" w:fill="FFFFFF"/>
            <w:vAlign w:val="center"/>
            <w:hideMark/>
          </w:tcPr>
          <w:p w14:paraId="6859BBA1"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买入近月份合约，卖出同等数量远月份合约。</w:t>
            </w:r>
          </w:p>
        </w:tc>
        <w:tc>
          <w:tcPr>
            <w:tcW w:w="4131" w:type="dxa"/>
            <w:tcBorders>
              <w:top w:val="nil"/>
              <w:left w:val="nil"/>
              <w:bottom w:val="single" w:sz="4" w:space="0" w:color="auto"/>
              <w:right w:val="single" w:sz="4" w:space="0" w:color="auto"/>
            </w:tcBorders>
            <w:shd w:val="clear" w:color="auto" w:fill="FFFFFF"/>
            <w:vAlign w:val="center"/>
            <w:hideMark/>
          </w:tcPr>
          <w:p w14:paraId="557FFED5"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买（卖）套利价格 = 近月合约买（卖）申报价格 – 远月合约卖（买）申报价格</w:t>
            </w:r>
          </w:p>
        </w:tc>
      </w:tr>
      <w:tr w:rsidR="00DA346D" w:rsidRPr="005A71B4" w14:paraId="09DDA9EC" w14:textId="77777777" w:rsidTr="005028F1">
        <w:tc>
          <w:tcPr>
            <w:tcW w:w="2083" w:type="dxa"/>
            <w:tcBorders>
              <w:top w:val="nil"/>
              <w:left w:val="single" w:sz="4" w:space="0" w:color="auto"/>
              <w:bottom w:val="single" w:sz="4" w:space="0" w:color="auto"/>
              <w:right w:val="single" w:sz="4" w:space="0" w:color="auto"/>
            </w:tcBorders>
            <w:shd w:val="clear" w:color="auto" w:fill="FFFFFF"/>
            <w:vAlign w:val="center"/>
            <w:hideMark/>
          </w:tcPr>
          <w:p w14:paraId="41227A73"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两个品种间套利交易指令</w:t>
            </w:r>
          </w:p>
        </w:tc>
        <w:tc>
          <w:tcPr>
            <w:tcW w:w="3914" w:type="dxa"/>
            <w:tcBorders>
              <w:top w:val="nil"/>
              <w:left w:val="nil"/>
              <w:bottom w:val="single" w:sz="4" w:space="0" w:color="auto"/>
              <w:right w:val="single" w:sz="4" w:space="0" w:color="auto"/>
            </w:tcBorders>
            <w:shd w:val="clear" w:color="auto" w:fill="FFFFFF"/>
            <w:vAlign w:val="center"/>
            <w:hideMark/>
          </w:tcPr>
          <w:p w14:paraId="62C0546F"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买入某品种某月份合约，卖出另一品种相同或不同月份合约。</w:t>
            </w:r>
          </w:p>
        </w:tc>
        <w:tc>
          <w:tcPr>
            <w:tcW w:w="4131" w:type="dxa"/>
            <w:tcBorders>
              <w:top w:val="nil"/>
              <w:left w:val="nil"/>
              <w:bottom w:val="single" w:sz="4" w:space="0" w:color="auto"/>
              <w:right w:val="single" w:sz="4" w:space="0" w:color="auto"/>
            </w:tcBorders>
            <w:shd w:val="clear" w:color="auto" w:fill="FFFFFF"/>
            <w:vAlign w:val="center"/>
            <w:hideMark/>
          </w:tcPr>
          <w:p w14:paraId="07740B2E"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买（卖）套利价格 = 第一品种买（卖）申报价格－第二品种卖（买）申报价格</w:t>
            </w:r>
          </w:p>
        </w:tc>
      </w:tr>
      <w:tr w:rsidR="00DA346D" w:rsidRPr="005A71B4" w14:paraId="4D235F22" w14:textId="77777777" w:rsidTr="005028F1">
        <w:tc>
          <w:tcPr>
            <w:tcW w:w="2083" w:type="dxa"/>
            <w:tcBorders>
              <w:top w:val="nil"/>
              <w:left w:val="single" w:sz="4" w:space="0" w:color="auto"/>
              <w:bottom w:val="single" w:sz="4" w:space="0" w:color="auto"/>
              <w:right w:val="single" w:sz="4" w:space="0" w:color="auto"/>
            </w:tcBorders>
            <w:shd w:val="clear" w:color="auto" w:fill="FFFFFF"/>
            <w:vAlign w:val="center"/>
            <w:hideMark/>
          </w:tcPr>
          <w:p w14:paraId="17CC7DC8"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压榨利润套利交易指令</w:t>
            </w:r>
          </w:p>
        </w:tc>
        <w:tc>
          <w:tcPr>
            <w:tcW w:w="3914" w:type="dxa"/>
            <w:tcBorders>
              <w:top w:val="nil"/>
              <w:left w:val="nil"/>
              <w:bottom w:val="single" w:sz="4" w:space="0" w:color="auto"/>
              <w:right w:val="single" w:sz="4" w:space="0" w:color="auto"/>
            </w:tcBorders>
            <w:shd w:val="clear" w:color="auto" w:fill="FFFFFF"/>
            <w:vAlign w:val="center"/>
            <w:hideMark/>
          </w:tcPr>
          <w:p w14:paraId="1B021A3B"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卖大豆合约、买相同月份或不同月份豆粕和豆油合约</w:t>
            </w:r>
          </w:p>
        </w:tc>
        <w:tc>
          <w:tcPr>
            <w:tcW w:w="4131" w:type="dxa"/>
            <w:tcBorders>
              <w:top w:val="nil"/>
              <w:left w:val="nil"/>
              <w:bottom w:val="single" w:sz="4" w:space="0" w:color="auto"/>
              <w:right w:val="single" w:sz="4" w:space="0" w:color="auto"/>
            </w:tcBorders>
            <w:shd w:val="clear" w:color="auto" w:fill="FFFFFF"/>
            <w:vAlign w:val="center"/>
            <w:hideMark/>
          </w:tcPr>
          <w:p w14:paraId="3AB5023B" w14:textId="77777777" w:rsidR="00DA346D" w:rsidRPr="005A71B4" w:rsidRDefault="00DA346D" w:rsidP="005028F1">
            <w:pPr>
              <w:widowControl/>
              <w:rPr>
                <w:rFonts w:ascii="微软雅黑" w:eastAsia="微软雅黑" w:hAnsi="微软雅黑" w:cs="宋体"/>
                <w:color w:val="333333"/>
                <w:kern w:val="0"/>
                <w:sz w:val="18"/>
                <w:szCs w:val="18"/>
              </w:rPr>
            </w:pPr>
            <w:r w:rsidRPr="005A71B4">
              <w:rPr>
                <w:rFonts w:ascii="微软雅黑" w:eastAsia="微软雅黑" w:hAnsi="微软雅黑" w:cs="宋体" w:hint="eastAsia"/>
                <w:color w:val="333333"/>
                <w:kern w:val="0"/>
                <w:sz w:val="18"/>
                <w:szCs w:val="18"/>
              </w:rPr>
              <w:t>买（卖）套利价格 = 豆粕合约买（卖）申报价格＋豆油合约买（卖）申报价格－大豆合约卖（买）申报价格</w:t>
            </w:r>
          </w:p>
        </w:tc>
      </w:tr>
    </w:tbl>
    <w:p w14:paraId="6105830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（六）交易所规定的其他指令。</w:t>
      </w:r>
    </w:p>
    <w:p w14:paraId="2B81728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鸡蛋合约交易指令每次最大下单数量为300手，焦炭合约交易指令每次最大下单数量为500手。黄大豆1号、黄大豆2号、豆粕、豆油、棕榈油、线型低密度聚乙烯、聚氯乙</w:t>
      </w:r>
      <w:r w:rsidRPr="008359FD">
        <w:rPr>
          <w:rFonts w:ascii="仿宋_GB2312" w:eastAsia="仿宋_GB2312" w:hAnsi="仿宋_GB2312" w:cs="仿宋_GB2312" w:hint="eastAsia"/>
          <w:sz w:val="32"/>
          <w:szCs w:val="30"/>
        </w:rPr>
        <w:lastRenderedPageBreak/>
        <w:t>烯、焦煤、铁矿石、纤维板、胶合板、聚丙烯、玉米淀粉</w:t>
      </w:r>
      <w:r w:rsidRPr="00A145D2">
        <w:rPr>
          <w:rFonts w:ascii="仿宋_GB2312" w:eastAsia="仿宋_GB2312" w:hAnsi="仿宋_GB2312" w:cs="仿宋_GB2312" w:hint="eastAsia"/>
          <w:sz w:val="32"/>
          <w:szCs w:val="30"/>
        </w:rPr>
        <w:t>、乙二醇</w:t>
      </w:r>
      <w:r w:rsidRPr="008359FD">
        <w:rPr>
          <w:rFonts w:ascii="仿宋_GB2312" w:eastAsia="仿宋_GB2312" w:hAnsi="仿宋_GB2312" w:cs="仿宋_GB2312" w:hint="eastAsia"/>
          <w:sz w:val="32"/>
          <w:szCs w:val="30"/>
        </w:rPr>
        <w:t>合约交易指令每次最大下单数量为1000手，玉米合约交易指令每次最大下单数量为2000手。</w:t>
      </w:r>
    </w:p>
    <w:p w14:paraId="2014431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第三十九条 市价指令和限价指令可以附加立即全部成交否则自动撤销和立即成交剩余指令自动撤销两种指令属性。</w:t>
      </w:r>
    </w:p>
    <w:p w14:paraId="445FC31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第四十条 开设夜盘交易的品种，其开盘集合竞价在夜盘交易时段开市前5分钟内进行，日盘交易时段不再集合竞价。未开设夜盘交易的品种，其开盘集合竞价在日盘交易时段开市前5分钟内进行。集合竞价前4分钟为期货合约买、卖指令申报时间，后1分钟为集合竞价撮合时间。</w:t>
      </w:r>
    </w:p>
    <w:p w14:paraId="28CB55F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第四十一条 在集合竞价申报和开市后竞价交易期间，交易所计算机撮合系统接受交易指令申报，交易指令的种类由交易所规定，并向市场公布。</w:t>
      </w:r>
    </w:p>
    <w:p w14:paraId="1BADC910"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在集合竞价撮合和竞价交易暂停期间，交易所计算机撮合系统不接受交易指令申报。</w:t>
      </w:r>
    </w:p>
    <w:p w14:paraId="7507269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第四十二条 交易所计算机撮合系统自动将买卖申报指令按价格优先、时间优先的原则进行排序，当买入价大于、等于卖出价则自动撮合成交。同一交易编码同一合约持仓平仓顺序按开仓时间先开先平。</w:t>
      </w:r>
    </w:p>
    <w:p w14:paraId="2E60E03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当某期货合约以涨（跌）停板价格申报时，成交撮合原则实行平仓优先和时间优先的原则，交易所强行平仓申报单优先其他平仓申报单。</w:t>
      </w:r>
    </w:p>
    <w:p w14:paraId="5585E0E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lastRenderedPageBreak/>
        <w:t xml:space="preserve">　　第四十三条 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价最近的价格；新上市合约开盘价取与挂盘基准价最近的价格。</w:t>
      </w:r>
    </w:p>
    <w:p w14:paraId="0C12496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第四十四条 开盘集合竞价中的未成交申报单自动参与开市后竞价交易。</w:t>
      </w:r>
    </w:p>
    <w:p w14:paraId="34979AF6"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第四十五条 开市后撮合成交价等于买入价(bp)、卖出价(sp)和前一成交价(cp)三者中居中的一个价格。即：</w:t>
      </w:r>
    </w:p>
    <w:p w14:paraId="3720AA5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当 bp≥sp≥cp，则最新成交价=sp；</w:t>
      </w:r>
    </w:p>
    <w:p w14:paraId="7B3345FC"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当bp≥cp≥sp，则最新成交价=cp；</w:t>
      </w:r>
    </w:p>
    <w:p w14:paraId="7910BCD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当cp≥bp≥sp，则最新成交价=bp。</w:t>
      </w:r>
    </w:p>
    <w:p w14:paraId="1229A4AE"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第五章 交易编码制度</w:t>
      </w:r>
    </w:p>
    <w:p w14:paraId="629F649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第四十六条 交易所实行交易编码制度。交易编码是指由交易所分配给非期货公司会员和客户进行期货交易的专用代码。</w:t>
      </w:r>
    </w:p>
    <w:p w14:paraId="17E2528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第四十七条 境内客户进行期货交易，应当事先在期货公司会员处办理开户手续。</w:t>
      </w:r>
    </w:p>
    <w:p w14:paraId="60854AA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境外客户进行期货交易，可以通过以下两种方式办理开户手续：</w:t>
      </w:r>
    </w:p>
    <w:p w14:paraId="748CDBC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（一）委托期货公司会员进行交易的，由期货公司会员</w:t>
      </w:r>
      <w:r w:rsidRPr="008359FD">
        <w:rPr>
          <w:rFonts w:ascii="仿宋_GB2312" w:eastAsia="仿宋_GB2312" w:hAnsi="仿宋_GB2312" w:cs="仿宋_GB2312" w:hint="eastAsia"/>
          <w:sz w:val="32"/>
          <w:szCs w:val="30"/>
        </w:rPr>
        <w:lastRenderedPageBreak/>
        <w:t>为其办理开户手续，申请交易编码；</w:t>
      </w:r>
    </w:p>
    <w:p w14:paraId="5AD9351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委托境外经纪机构进行交易，境外经纪机构再委托期货公司会员交易的，由境外经纪机构为其办理开户手续，申请交易编码，接受境外经纪机构委托交易的期货公司会员，应当为境外经纪机构办理开户手续提供必要的协助。</w:t>
      </w:r>
    </w:p>
    <w:p w14:paraId="59D6A9A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同时采取以上两种方式开户的境外客户或者在不同境外经纪机构开户的境外客户，不得通过同一家期货公司会员进行期货交易。</w:t>
      </w:r>
    </w:p>
    <w:p w14:paraId="1B37D7B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期货公司会员、境外经纪机构接受客户委托，应当事先向客户出示风险说明书，经客户签字确认后，与客户签订书面合同。</w:t>
      </w:r>
    </w:p>
    <w:p w14:paraId="485A819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第四十八条 期货公司会员、境外经纪机构应当按照中国证监会、中国期货市场监控中心有限责任公司（以下简称监控中心）和交易所的要求，为客户办理交易编码申请等开户手续。</w:t>
      </w:r>
    </w:p>
    <w:p w14:paraId="532A1AA1"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根据中国法律、法规和规章规定，需要对资产进行分户管理的期货公司、证券公司、基金管理公司、信托公司和其他金融机构，以及社会保障类公司等特殊单位客户，可以按照监控中心的规定申请交易编码。</w:t>
      </w:r>
    </w:p>
    <w:p w14:paraId="114C62B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第四十九条 交易编码分非期货公司会员交易编码和客户交易编码。交易编码由会员号和客户号两部分组成。</w:t>
      </w:r>
    </w:p>
    <w:p w14:paraId="3A74B4B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第五十条 客户交易编码由十二位数字构成，前四位数是会员号，后八位数是客户号。如客户交易编码为</w:t>
      </w:r>
      <w:r w:rsidRPr="008359FD">
        <w:rPr>
          <w:rFonts w:ascii="仿宋_GB2312" w:eastAsia="仿宋_GB2312" w:hAnsi="仿宋_GB2312" w:cs="仿宋_GB2312" w:hint="eastAsia"/>
          <w:sz w:val="32"/>
          <w:szCs w:val="30"/>
        </w:rPr>
        <w:lastRenderedPageBreak/>
        <w:t>000100001535，则会员号为0001，客户号为00001535。</w:t>
      </w:r>
    </w:p>
    <w:p w14:paraId="2A46ACD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第五十一条 非期货公司会员交易编码和客户交易编码位数相同，但后八位是其会员号，如非期货公司会员的会员号为120，则其非期货公司会员交易编码为012000000120。</w:t>
      </w:r>
    </w:p>
    <w:p w14:paraId="7460DF49"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第五十二条 非期货公司会员交易编码与客户交易编码互不占用。</w:t>
      </w:r>
    </w:p>
    <w:p w14:paraId="4362DC0B"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第五十三条 一个客户在交易所内只能有一个客户号，但可以在不同的期货公司会员、境外经纪机构开户。交易编码只能是会员号不同，而客户号必须相同。</w:t>
      </w:r>
    </w:p>
    <w:p w14:paraId="42A07AD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第五十四条 期货公司会员、境外经纪机构为客户申请、注销交易编码，以及修改与交易编码相关的客户资料，应当根据期货市场客户开户管理的相关规定，统一通过监控中心提交申请。</w:t>
      </w:r>
    </w:p>
    <w:p w14:paraId="2194A88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交易所收到监控中心转发的客户交易编码申请资料后，对交易编码进行分配、发放和管理，并将各类申请的处理结果通过监控中心反馈给期货公司会员、境外经纪机构。</w:t>
      </w:r>
    </w:p>
    <w:p w14:paraId="5F12F007"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客户交易编码经交易所审核确认后方可使用。</w:t>
      </w:r>
    </w:p>
    <w:p w14:paraId="748F2F5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第五十五条 期货公司会员、境外经纪机构应当保证客户资料的真实、合法、有效和准确，妥善保存客户开户、变更及销户资料档案，以备交易所核查。</w:t>
      </w:r>
    </w:p>
    <w:p w14:paraId="3417B43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期货公司会员、境外经纪机构对上述资料的保管期限不得少于20年。</w:t>
      </w:r>
    </w:p>
    <w:p w14:paraId="0C69377D"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第五十六条 有下列情况之一的，客户交易编码予以注</w:t>
      </w:r>
      <w:r w:rsidRPr="008359FD">
        <w:rPr>
          <w:rFonts w:ascii="仿宋_GB2312" w:eastAsia="仿宋_GB2312" w:hAnsi="仿宋_GB2312" w:cs="仿宋_GB2312" w:hint="eastAsia"/>
          <w:sz w:val="32"/>
          <w:szCs w:val="30"/>
        </w:rPr>
        <w:lastRenderedPageBreak/>
        <w:t>销：</w:t>
      </w:r>
    </w:p>
    <w:p w14:paraId="3B826EE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（一）客户资料不真实的；</w:t>
      </w:r>
    </w:p>
    <w:p w14:paraId="15E5927A"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（二）客户被认定为市场禁入者的；</w:t>
      </w:r>
    </w:p>
    <w:p w14:paraId="2330FDC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（三）客户在期货公司、境外经纪机构已办理销户手续的；</w:t>
      </w:r>
    </w:p>
    <w:p w14:paraId="2984A29F"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（四）其他应予以注销的情形。</w:t>
      </w:r>
    </w:p>
    <w:p w14:paraId="605F73BE"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第五十七条  如会员丧失交易所会员资格，则该会员处的交易编码全部予以注销。</w:t>
      </w:r>
    </w:p>
    <w:p w14:paraId="48E832E3"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第五十八条 客户提供虚假的开户资料或者期货公司会员、境外经纪机构协助客户使用虚假资料开户的，交易所可以责令期货公司会员、境外经纪机构限期平仓，平仓后注销该客户交易编码，同时按《大连商品交易所违规处理办法》的有关规定进行处理。</w:t>
      </w:r>
    </w:p>
    <w:p w14:paraId="0EF519C4"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第五十九条 会员、境外经纪机构或者客户应当本着诚实信用原则，妥善管理交易编码。会员、境外经纪机构或者客户因交易编码管理不当，导致交易编码被他人利用实施违规行为的，交易所将根据有关规定进行处理。</w:t>
      </w:r>
    </w:p>
    <w:p w14:paraId="6BEA2BDF" w14:textId="77777777" w:rsidR="00DA346D" w:rsidRDefault="00DA346D" w:rsidP="00DA346D">
      <w:pPr>
        <w:snapToGrid w:val="0"/>
        <w:spacing w:line="580" w:lineRule="exact"/>
        <w:jc w:val="center"/>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第六章  附 则</w:t>
      </w:r>
    </w:p>
    <w:p w14:paraId="11A208A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第六十条 本细则中所称时间均为北京时间，除本细则有明确的规定外，“日”均指交易日。</w:t>
      </w:r>
    </w:p>
    <w:p w14:paraId="10325485"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第六十一条 违反本细则规定的，交易所按《大连商品交易所违规处理办法》的有关规定处理。</w:t>
      </w:r>
    </w:p>
    <w:p w14:paraId="75E13D18"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第六十二条 交易所对期权交易业务有特别规定的，适</w:t>
      </w:r>
      <w:r w:rsidRPr="008359FD">
        <w:rPr>
          <w:rFonts w:ascii="仿宋_GB2312" w:eastAsia="仿宋_GB2312" w:hAnsi="仿宋_GB2312" w:cs="仿宋_GB2312" w:hint="eastAsia"/>
          <w:sz w:val="32"/>
          <w:szCs w:val="30"/>
        </w:rPr>
        <w:lastRenderedPageBreak/>
        <w:t>用其规定。</w:t>
      </w:r>
    </w:p>
    <w:p w14:paraId="5CF1A632" w14:textId="77777777" w:rsidR="00DA346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第六十三条 本细则解释权属于大连商品交易所。</w:t>
      </w:r>
    </w:p>
    <w:p w14:paraId="3D81BC55" w14:textId="77777777" w:rsidR="00DA346D" w:rsidRPr="008359FD" w:rsidRDefault="00DA346D" w:rsidP="00DA346D">
      <w:pPr>
        <w:snapToGrid w:val="0"/>
        <w:spacing w:line="580" w:lineRule="exact"/>
        <w:rPr>
          <w:rFonts w:ascii="仿宋_GB2312" w:eastAsia="仿宋_GB2312" w:hAnsi="仿宋_GB2312" w:cs="仿宋_GB2312" w:hint="eastAsia"/>
          <w:sz w:val="32"/>
          <w:szCs w:val="30"/>
        </w:rPr>
      </w:pPr>
      <w:r w:rsidRPr="008359FD">
        <w:rPr>
          <w:rFonts w:ascii="仿宋_GB2312" w:eastAsia="仿宋_GB2312" w:hAnsi="仿宋_GB2312" w:cs="仿宋_GB2312" w:hint="eastAsia"/>
          <w:sz w:val="32"/>
          <w:szCs w:val="30"/>
        </w:rPr>
        <w:t xml:space="preserve">　　第六十四条 本细则自公布之日起实施。</w:t>
      </w:r>
    </w:p>
    <w:p w14:paraId="3522DF7F" w14:textId="77777777" w:rsidR="00DA346D" w:rsidRPr="009F5AF3" w:rsidRDefault="00DA346D" w:rsidP="00DA346D">
      <w:pPr>
        <w:snapToGrid w:val="0"/>
        <w:spacing w:line="580" w:lineRule="exact"/>
        <w:rPr>
          <w:rFonts w:ascii="仿宋_GB2312" w:eastAsia="仿宋_GB2312" w:hAnsi="仿宋_GB2312" w:cs="仿宋_GB2312"/>
          <w:sz w:val="32"/>
          <w:szCs w:val="30"/>
        </w:rPr>
      </w:pPr>
    </w:p>
    <w:p w14:paraId="15E4E414" w14:textId="77777777" w:rsidR="00DA346D" w:rsidRPr="009D6042" w:rsidRDefault="00DA346D" w:rsidP="00DA346D">
      <w:pPr>
        <w:snapToGrid w:val="0"/>
        <w:spacing w:line="580" w:lineRule="exact"/>
        <w:ind w:firstLineChars="200" w:firstLine="640"/>
        <w:rPr>
          <w:rFonts w:ascii="仿宋_GB2312" w:eastAsia="仿宋_GB2312" w:hAnsi="仿宋_GB2312" w:cs="仿宋_GB2312"/>
          <w:sz w:val="32"/>
          <w:szCs w:val="30"/>
        </w:rPr>
      </w:pPr>
    </w:p>
    <w:p w14:paraId="090E9E0C" w14:textId="77777777" w:rsidR="00CF3723" w:rsidRPr="00DA346D" w:rsidRDefault="00DA346D"/>
    <w:sectPr w:rsidR="00CF3723" w:rsidRPr="00DA3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16DA1" w14:textId="77777777" w:rsidR="00DA346D" w:rsidRDefault="00DA346D" w:rsidP="00DA346D">
      <w:r>
        <w:separator/>
      </w:r>
    </w:p>
  </w:endnote>
  <w:endnote w:type="continuationSeparator" w:id="0">
    <w:p w14:paraId="54C77A2E" w14:textId="77777777" w:rsidR="00DA346D" w:rsidRDefault="00DA346D" w:rsidP="00DA3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7799017"/>
      <w:docPartObj>
        <w:docPartGallery w:val="Page Numbers (Bottom of Page)"/>
        <w:docPartUnique/>
      </w:docPartObj>
    </w:sdtPr>
    <w:sdtContent>
      <w:p w14:paraId="3BE21B02" w14:textId="77777777" w:rsidR="00DA346D" w:rsidRDefault="00DA346D">
        <w:pPr>
          <w:pStyle w:val="a5"/>
          <w:jc w:val="center"/>
        </w:pPr>
        <w:r>
          <w:fldChar w:fldCharType="begin"/>
        </w:r>
        <w:r>
          <w:instrText>PAGE   \* MERGEFORMAT</w:instrText>
        </w:r>
        <w:r>
          <w:fldChar w:fldCharType="separate"/>
        </w:r>
        <w:r w:rsidRPr="00DA346D">
          <w:rPr>
            <w:noProof/>
            <w:lang w:val="zh-CN"/>
          </w:rPr>
          <w:t>1</w:t>
        </w:r>
        <w:r>
          <w:fldChar w:fldCharType="end"/>
        </w:r>
      </w:p>
    </w:sdtContent>
  </w:sdt>
  <w:p w14:paraId="6C32DFE9" w14:textId="77777777" w:rsidR="00DA346D" w:rsidRDefault="00DA346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8DF6A" w14:textId="77777777" w:rsidR="00DA346D" w:rsidRDefault="00DA346D" w:rsidP="00DA346D">
      <w:r>
        <w:separator/>
      </w:r>
    </w:p>
  </w:footnote>
  <w:footnote w:type="continuationSeparator" w:id="0">
    <w:p w14:paraId="3BBAD58D" w14:textId="77777777" w:rsidR="00DA346D" w:rsidRDefault="00DA346D" w:rsidP="00DA34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6D"/>
    <w:rsid w:val="0017744C"/>
    <w:rsid w:val="00477BDB"/>
    <w:rsid w:val="007874F6"/>
    <w:rsid w:val="008F3BDB"/>
    <w:rsid w:val="00DA3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DA3E"/>
  <w15:chartTrackingRefBased/>
  <w15:docId w15:val="{6602F247-5939-4371-9F99-8CD32478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46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4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A346D"/>
    <w:rPr>
      <w:rFonts w:ascii="等线" w:eastAsia="等线" w:hAnsi="等线" w:cs="Times New Roman"/>
      <w:sz w:val="18"/>
      <w:szCs w:val="18"/>
    </w:rPr>
  </w:style>
  <w:style w:type="paragraph" w:styleId="a5">
    <w:name w:val="footer"/>
    <w:basedOn w:val="a"/>
    <w:link w:val="a6"/>
    <w:uiPriority w:val="99"/>
    <w:unhideWhenUsed/>
    <w:rsid w:val="00DA346D"/>
    <w:pPr>
      <w:tabs>
        <w:tab w:val="center" w:pos="4153"/>
        <w:tab w:val="right" w:pos="8306"/>
      </w:tabs>
      <w:snapToGrid w:val="0"/>
      <w:jc w:val="left"/>
    </w:pPr>
    <w:rPr>
      <w:sz w:val="18"/>
      <w:szCs w:val="18"/>
    </w:rPr>
  </w:style>
  <w:style w:type="character" w:customStyle="1" w:styleId="a6">
    <w:name w:val="页脚 字符"/>
    <w:basedOn w:val="a0"/>
    <w:link w:val="a5"/>
    <w:uiPriority w:val="99"/>
    <w:rsid w:val="00DA346D"/>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F80CDB-52A8-4F47-8F99-81353F234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4767F-B888-4487-95B2-75EDD0BDF33E}">
  <ds:schemaRefs>
    <ds:schemaRef ds:uri="http://schemas.microsoft.com/sharepoint/v3/contenttype/forms"/>
  </ds:schemaRefs>
</ds:datastoreItem>
</file>

<file path=customXml/itemProps3.xml><?xml version="1.0" encoding="utf-8"?>
<ds:datastoreItem xmlns:ds="http://schemas.openxmlformats.org/officeDocument/2006/customXml" ds:itemID="{CC999790-EE8E-4D9C-B13D-B1CB8C6CB26A}">
  <ds:schemaRefs>
    <ds:schemaRef ds:uri="http://purl.org/dc/dcmitype/"/>
    <ds:schemaRef ds:uri="http://www.w3.org/XML/1998/namespace"/>
    <ds:schemaRef ds:uri="http://schemas.microsoft.com/office/2006/documentManagement/types"/>
    <ds:schemaRef ds:uri="http://purl.org/dc/terms/"/>
    <ds:schemaRef ds:uri="4f16167e-0980-47ed-bfa9-106d2637988c"/>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3457</Words>
  <Characters>3838</Characters>
  <Application>Microsoft Office Word</Application>
  <DocSecurity>0</DocSecurity>
  <Lines>639</Lines>
  <Paragraphs>486</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1</cp:revision>
  <dcterms:created xsi:type="dcterms:W3CDTF">2018-12-03T14:37:00Z</dcterms:created>
  <dcterms:modified xsi:type="dcterms:W3CDTF">2018-12-03T14:38:00Z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