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CC5" w:rsidRDefault="007A54EB">
      <w:pPr>
        <w:jc w:val="center"/>
      </w:pPr>
      <w:r>
        <w:rPr>
          <w:noProof/>
        </w:rPr>
        <w:drawing>
          <wp:anchor distT="0" distB="0" distL="0" distR="0" simplePos="0" relativeHeight="251656192" behindDoc="1" locked="0" layoutInCell="1" allowOverlap="1">
            <wp:simplePos x="0" y="0"/>
            <wp:positionH relativeFrom="column">
              <wp:posOffset>-1180465</wp:posOffset>
            </wp:positionH>
            <wp:positionV relativeFrom="paragraph">
              <wp:posOffset>-1010920</wp:posOffset>
            </wp:positionV>
            <wp:extent cx="7658100" cy="10797540"/>
            <wp:effectExtent l="0" t="0" r="0" b="0"/>
            <wp:wrapNone/>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9" cstate="print"/>
                    <a:srcRect/>
                    <a:stretch>
                      <a:fillRect/>
                    </a:stretch>
                  </pic:blipFill>
                  <pic:spPr>
                    <a:xfrm>
                      <a:off x="0" y="0"/>
                      <a:ext cx="7658100" cy="10797540"/>
                    </a:xfrm>
                    <a:prstGeom prst="rect">
                      <a:avLst/>
                    </a:prstGeom>
                    <a:ln>
                      <a:noFill/>
                    </a:ln>
                  </pic:spPr>
                </pic:pic>
              </a:graphicData>
            </a:graphic>
          </wp:anchor>
        </w:drawing>
      </w:r>
      <w:r>
        <w:rPr>
          <w:noProof/>
        </w:rPr>
        <w:drawing>
          <wp:anchor distT="0" distB="0" distL="0" distR="0" simplePos="0" relativeHeight="251657216" behindDoc="0" locked="0" layoutInCell="1" allowOverlap="1">
            <wp:simplePos x="0" y="0"/>
            <wp:positionH relativeFrom="column">
              <wp:posOffset>3982720</wp:posOffset>
            </wp:positionH>
            <wp:positionV relativeFrom="paragraph">
              <wp:posOffset>-640080</wp:posOffset>
            </wp:positionV>
            <wp:extent cx="2074545" cy="739140"/>
            <wp:effectExtent l="0" t="0" r="0" b="0"/>
            <wp:wrapNone/>
            <wp:docPr id="1028" name="图片 4"/>
            <wp:cNvGraphicFramePr/>
            <a:graphic xmlns:a="http://schemas.openxmlformats.org/drawingml/2006/main">
              <a:graphicData uri="http://schemas.openxmlformats.org/drawingml/2006/picture">
                <pic:pic xmlns:pic="http://schemas.openxmlformats.org/drawingml/2006/picture">
                  <pic:nvPicPr>
                    <pic:cNvPr id="1028" name="图片 4"/>
                    <pic:cNvPicPr/>
                  </pic:nvPicPr>
                  <pic:blipFill>
                    <a:blip r:embed="rId10" cstate="print"/>
                    <a:srcRect/>
                    <a:stretch>
                      <a:fillRect/>
                    </a:stretch>
                  </pic:blipFill>
                  <pic:spPr>
                    <a:xfrm>
                      <a:off x="0" y="0"/>
                      <a:ext cx="2074545" cy="739140"/>
                    </a:xfrm>
                    <a:prstGeom prst="rect">
                      <a:avLst/>
                    </a:prstGeom>
                    <a:ln>
                      <a:noFill/>
                    </a:ln>
                  </pic:spPr>
                </pic:pic>
              </a:graphicData>
            </a:graphic>
          </wp:anchor>
        </w:drawing>
      </w:r>
      <w:r>
        <w:rPr>
          <w:rFonts w:hint="eastAsia"/>
        </w:rPr>
        <w:t xml:space="preserve"> </w:t>
      </w:r>
    </w:p>
    <w:p w:rsidR="00937CC5" w:rsidRDefault="00937CC5">
      <w:pPr>
        <w:pStyle w:val="p15"/>
        <w:spacing w:line="360" w:lineRule="auto"/>
        <w:jc w:val="center"/>
        <w:rPr>
          <w:rFonts w:ascii="新宋体" w:eastAsia="新宋体" w:hAnsi="新宋体"/>
          <w:color w:val="FFFFFF"/>
          <w:kern w:val="2"/>
          <w:sz w:val="36"/>
          <w:szCs w:val="36"/>
        </w:rPr>
      </w:pPr>
    </w:p>
    <w:p w:rsidR="00937CC5" w:rsidRDefault="007A54EB">
      <w:pPr>
        <w:pStyle w:val="p15"/>
        <w:tabs>
          <w:tab w:val="left" w:pos="5145"/>
        </w:tabs>
        <w:spacing w:line="360" w:lineRule="auto"/>
        <w:jc w:val="left"/>
        <w:rPr>
          <w:rFonts w:ascii="新宋体" w:eastAsia="新宋体" w:hAnsi="新宋体"/>
          <w:color w:val="FFFFFF"/>
          <w:kern w:val="2"/>
          <w:sz w:val="36"/>
          <w:szCs w:val="36"/>
        </w:rPr>
      </w:pPr>
      <w:r>
        <w:rPr>
          <w:rFonts w:ascii="新宋体" w:eastAsia="新宋体" w:hAnsi="新宋体"/>
          <w:color w:val="FFFFFF"/>
          <w:kern w:val="2"/>
          <w:sz w:val="36"/>
          <w:szCs w:val="36"/>
        </w:rPr>
        <w:tab/>
      </w: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7A54EB">
      <w:pPr>
        <w:pStyle w:val="p15"/>
        <w:spacing w:line="360" w:lineRule="auto"/>
        <w:jc w:val="center"/>
        <w:rPr>
          <w:rFonts w:ascii="新宋体" w:eastAsia="新宋体" w:hAnsi="新宋体"/>
          <w:color w:val="FFFFFF"/>
          <w:kern w:val="2"/>
          <w:sz w:val="36"/>
          <w:szCs w:val="36"/>
        </w:rPr>
      </w:pPr>
      <w:r>
        <w:rPr>
          <w:noProof/>
          <w:color w:val="FFFFFF"/>
        </w:rPr>
        <mc:AlternateContent>
          <mc:Choice Requires="wps">
            <w:drawing>
              <wp:anchor distT="0" distB="0" distL="0" distR="0" simplePos="0" relativeHeight="251658240" behindDoc="0" locked="0" layoutInCell="1" allowOverlap="1">
                <wp:simplePos x="0" y="0"/>
                <wp:positionH relativeFrom="column">
                  <wp:posOffset>-916305</wp:posOffset>
                </wp:positionH>
                <wp:positionV relativeFrom="paragraph">
                  <wp:posOffset>312420</wp:posOffset>
                </wp:positionV>
                <wp:extent cx="7086600" cy="1386840"/>
                <wp:effectExtent l="0" t="0" r="0" b="0"/>
                <wp:wrapNone/>
                <wp:docPr id="1029" name="Text Box 4"/>
                <wp:cNvGraphicFramePr/>
                <a:graphic xmlns:a="http://schemas.openxmlformats.org/drawingml/2006/main">
                  <a:graphicData uri="http://schemas.microsoft.com/office/word/2010/wordprocessingShape">
                    <wps:wsp>
                      <wps:cNvSpPr/>
                      <wps:spPr>
                        <a:xfrm>
                          <a:off x="0" y="0"/>
                          <a:ext cx="7086600" cy="1386840"/>
                        </a:xfrm>
                        <a:prstGeom prst="rect">
                          <a:avLst/>
                        </a:prstGeom>
                        <a:ln>
                          <a:noFill/>
                        </a:ln>
                      </wps:spPr>
                      <wps:txbx>
                        <w:txbxContent>
                          <w:p w:rsidR="007A54EB" w:rsidRDefault="007A54EB">
                            <w:pPr>
                              <w:jc w:val="center"/>
                              <w:rPr>
                                <w:rFonts w:ascii="黑体" w:eastAsia="黑体" w:hAnsi="微软雅黑"/>
                                <w:b/>
                                <w:color w:val="422100"/>
                                <w:sz w:val="60"/>
                                <w:szCs w:val="60"/>
                              </w:rPr>
                            </w:pPr>
                            <w:r>
                              <w:rPr>
                                <w:rFonts w:ascii="黑体" w:eastAsia="黑体" w:hAnsi="微软雅黑" w:hint="eastAsia"/>
                                <w:b/>
                                <w:color w:val="422100"/>
                                <w:sz w:val="60"/>
                                <w:szCs w:val="60"/>
                              </w:rPr>
                              <w:t>期市博览 股指期货</w:t>
                            </w:r>
                          </w:p>
                          <w:p w:rsidR="007A54EB" w:rsidRDefault="007A54EB">
                            <w:pPr>
                              <w:jc w:val="center"/>
                              <w:rPr>
                                <w:rFonts w:ascii="黑体" w:eastAsia="黑体" w:hAnsi="微软雅黑"/>
                                <w:b/>
                                <w:color w:val="422100"/>
                                <w:sz w:val="60"/>
                                <w:szCs w:val="60"/>
                              </w:rPr>
                            </w:pPr>
                          </w:p>
                        </w:txbxContent>
                      </wps:txbx>
                      <wps:bodyPr wrap="square" upright="1"/>
                    </wps:wsp>
                  </a:graphicData>
                </a:graphic>
              </wp:anchor>
            </w:drawing>
          </mc:Choice>
          <mc:Fallback>
            <w:pict>
              <v:rect id="Text Box 4" o:spid="_x0000_s1026" style="position:absolute;left:0;text-align:left;margin-left:-72.15pt;margin-top:24.6pt;width:558pt;height:109.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" filled="f" stroked="f">
                <v:textbox>
                  <w:txbxContent>
                    <w:p w:rsidR="007A54EB" w:rsidRDefault="007A54EB">
                      <w:pPr>
                        <w:jc w:val="center"/>
                        <w:rPr>
                          <w:rFonts w:ascii="黑体" w:eastAsia="黑体" w:hAnsi="微软雅黑"/>
                          <w:b/>
                          <w:color w:val="422100"/>
                          <w:sz w:val="60"/>
                          <w:szCs w:val="60"/>
                        </w:rPr>
                      </w:pPr>
                      <w:r>
                        <w:rPr>
                          <w:rFonts w:ascii="黑体" w:eastAsia="黑体" w:hAnsi="微软雅黑" w:hint="eastAsia"/>
                          <w:b/>
                          <w:color w:val="422100"/>
                          <w:sz w:val="60"/>
                          <w:szCs w:val="60"/>
                        </w:rPr>
                        <w:t>期市博览 股指期货</w:t>
                      </w:r>
                    </w:p>
                    <w:p w:rsidR="007A54EB" w:rsidRDefault="007A54EB">
                      <w:pPr>
                        <w:jc w:val="center"/>
                        <w:rPr>
                          <w:rFonts w:ascii="黑体" w:eastAsia="黑体" w:hAnsi="微软雅黑"/>
                          <w:b/>
                          <w:color w:val="422100"/>
                          <w:sz w:val="60"/>
                          <w:szCs w:val="60"/>
                        </w:rPr>
                      </w:pPr>
                    </w:p>
                  </w:txbxContent>
                </v:textbox>
              </v:rect>
            </w:pict>
          </mc:Fallback>
        </mc:AlternateContent>
      </w:r>
    </w:p>
    <w:p w:rsidR="00937CC5" w:rsidRDefault="007A54EB">
      <w:pPr>
        <w:jc w:val="center"/>
        <w:rPr>
          <w:rFonts w:ascii="新宋体" w:eastAsia="新宋体" w:hAnsi="新宋体"/>
          <w:color w:val="FFFFFF"/>
          <w:sz w:val="36"/>
          <w:szCs w:val="36"/>
        </w:rPr>
      </w:pPr>
      <w:r>
        <w:rPr>
          <w:rFonts w:ascii="黑体" w:eastAsia="黑体" w:hAnsi="微软雅黑" w:hint="eastAsia"/>
          <w:b/>
          <w:color w:val="422100"/>
          <w:sz w:val="60"/>
          <w:szCs w:val="60"/>
        </w:rPr>
        <w:t xml:space="preserve">  </w:t>
      </w: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rPr>
          <w:rFonts w:ascii="微软雅黑" w:eastAsia="微软雅黑" w:hAnsi="微软雅黑"/>
          <w:color w:val="FFFFFF"/>
          <w:kern w:val="2"/>
          <w:sz w:val="36"/>
          <w:szCs w:val="36"/>
        </w:rPr>
      </w:pPr>
    </w:p>
    <w:p w:rsidR="00937CC5" w:rsidRDefault="007A54EB">
      <w:pPr>
        <w:pStyle w:val="p15"/>
        <w:spacing w:line="360" w:lineRule="auto"/>
        <w:jc w:val="center"/>
        <w:rPr>
          <w:rFonts w:ascii="新宋体" w:eastAsia="新宋体" w:hAnsi="新宋体"/>
          <w:color w:val="FFFFFF"/>
          <w:kern w:val="2"/>
          <w:sz w:val="36"/>
          <w:szCs w:val="36"/>
        </w:rPr>
      </w:pPr>
      <w:r>
        <w:rPr>
          <w:rFonts w:ascii="新宋体" w:eastAsia="新宋体" w:hAnsi="新宋体" w:hint="eastAsia"/>
          <w:noProof/>
          <w:color w:val="FFFFFF"/>
          <w:kern w:val="2"/>
          <w:sz w:val="36"/>
          <w:szCs w:val="36"/>
        </w:rPr>
        <mc:AlternateContent>
          <mc:Choice Requires="wps">
            <w:drawing>
              <wp:anchor distT="0" distB="0" distL="0" distR="0" simplePos="0" relativeHeight="251659264" behindDoc="0" locked="0" layoutInCell="1" allowOverlap="1">
                <wp:simplePos x="0" y="0"/>
                <wp:positionH relativeFrom="column">
                  <wp:posOffset>1156335</wp:posOffset>
                </wp:positionH>
                <wp:positionV relativeFrom="paragraph">
                  <wp:posOffset>85090</wp:posOffset>
                </wp:positionV>
                <wp:extent cx="3086100" cy="1798320"/>
                <wp:effectExtent l="0" t="0" r="0" b="0"/>
                <wp:wrapNone/>
                <wp:docPr id="1030" name="Text Box 5"/>
                <wp:cNvGraphicFramePr/>
                <a:graphic xmlns:a="http://schemas.openxmlformats.org/drawingml/2006/main">
                  <a:graphicData uri="http://schemas.microsoft.com/office/word/2010/wordprocessingShape">
                    <wps:wsp>
                      <wps:cNvSpPr/>
                      <wps:spPr>
                        <a:xfrm>
                          <a:off x="0" y="0"/>
                          <a:ext cx="3086099" cy="1798320"/>
                        </a:xfrm>
                        <a:prstGeom prst="rect">
                          <a:avLst/>
                        </a:prstGeom>
                        <a:ln>
                          <a:noFill/>
                        </a:ln>
                      </wps:spPr>
                      <wps:txbx>
                        <w:txbxContent>
                          <w:p w:rsidR="007A54EB" w:rsidRDefault="007A54EB">
                            <w:pPr>
                              <w:jc w:val="center"/>
                              <w:rPr>
                                <w:rFonts w:ascii="黑体" w:eastAsia="黑体" w:hAnsi="微软雅黑"/>
                                <w:color w:val="422100"/>
                                <w:sz w:val="32"/>
                                <w:szCs w:val="32"/>
                              </w:rPr>
                            </w:pPr>
                            <w:r>
                              <w:rPr>
                                <w:rFonts w:ascii="黑体" w:eastAsia="黑体" w:hAnsi="微软雅黑" w:hint="eastAsia"/>
                                <w:color w:val="422100"/>
                                <w:sz w:val="32"/>
                                <w:szCs w:val="32"/>
                              </w:rPr>
                              <w:t>广州</w:t>
                            </w:r>
                            <w:r>
                              <w:rPr>
                                <w:rFonts w:ascii="黑体" w:eastAsia="黑体" w:hAnsi="微软雅黑"/>
                                <w:color w:val="422100"/>
                                <w:sz w:val="32"/>
                                <w:szCs w:val="32"/>
                              </w:rPr>
                              <w:t>期货</w:t>
                            </w:r>
                            <w:r>
                              <w:rPr>
                                <w:rFonts w:ascii="黑体" w:eastAsia="黑体" w:hAnsi="微软雅黑" w:hint="eastAsia"/>
                                <w:color w:val="422100"/>
                                <w:sz w:val="32"/>
                                <w:szCs w:val="32"/>
                              </w:rPr>
                              <w:t xml:space="preserve">研究所 </w:t>
                            </w:r>
                          </w:p>
                          <w:p w:rsidR="007A54EB" w:rsidRDefault="007A54EB">
                            <w:pPr>
                              <w:jc w:val="center"/>
                              <w:rPr>
                                <w:rFonts w:ascii="黑体" w:eastAsia="黑体" w:hAnsi="微软雅黑"/>
                                <w:color w:val="422100"/>
                                <w:sz w:val="28"/>
                                <w:szCs w:val="28"/>
                              </w:rPr>
                            </w:pPr>
                            <w:r>
                              <w:rPr>
                                <w:rFonts w:ascii="黑体" w:eastAsia="黑体" w:hAnsi="微软雅黑" w:hint="eastAsia"/>
                                <w:color w:val="422100"/>
                                <w:sz w:val="28"/>
                                <w:szCs w:val="28"/>
                              </w:rPr>
                              <w:t>叶倩宁 F3022667</w:t>
                            </w:r>
                          </w:p>
                          <w:p w:rsidR="007A54EB" w:rsidRDefault="007A54EB">
                            <w:pPr>
                              <w:jc w:val="center"/>
                              <w:rPr>
                                <w:rFonts w:ascii="黑体" w:eastAsia="黑体" w:hAnsi="微软雅黑"/>
                                <w:color w:val="422100"/>
                                <w:sz w:val="24"/>
                                <w:szCs w:val="24"/>
                              </w:rPr>
                            </w:pPr>
                            <w:r>
                              <w:rPr>
                                <w:rFonts w:ascii="黑体" w:eastAsia="黑体" w:hAnsi="微软雅黑"/>
                                <w:color w:val="422100"/>
                                <w:sz w:val="24"/>
                                <w:szCs w:val="24"/>
                              </w:rPr>
                              <w:t>201</w:t>
                            </w:r>
                            <w:r>
                              <w:rPr>
                                <w:rFonts w:ascii="黑体" w:eastAsia="黑体" w:hAnsi="微软雅黑" w:hint="eastAsia"/>
                                <w:color w:val="422100"/>
                                <w:sz w:val="24"/>
                                <w:szCs w:val="24"/>
                              </w:rPr>
                              <w:t>7</w:t>
                            </w:r>
                            <w:r>
                              <w:rPr>
                                <w:rFonts w:ascii="黑体" w:eastAsia="黑体" w:hAnsi="微软雅黑"/>
                                <w:color w:val="422100"/>
                                <w:sz w:val="24"/>
                                <w:szCs w:val="24"/>
                              </w:rPr>
                              <w:t>-</w:t>
                            </w:r>
                            <w:r>
                              <w:rPr>
                                <w:rFonts w:ascii="黑体" w:eastAsia="黑体" w:hAnsi="微软雅黑" w:hint="eastAsia"/>
                                <w:color w:val="422100"/>
                                <w:sz w:val="24"/>
                                <w:szCs w:val="24"/>
                              </w:rPr>
                              <w:t>10</w:t>
                            </w:r>
                          </w:p>
                        </w:txbxContent>
                      </wps:txbx>
                      <wps:bodyPr vert="horz" wrap="square" lIns="91440" tIns="45720" rIns="91440" bIns="45720" anchor="t" upright="1">
                        <a:noAutofit/>
                      </wps:bodyPr>
                    </wps:wsp>
                  </a:graphicData>
                </a:graphic>
              </wp:anchor>
            </w:drawing>
          </mc:Choice>
          <mc:Fallback>
            <w:pict>
              <v:rect id="Text Box 5" o:spid="_x0000_s1027" style="position:absolute;left:0;text-align:left;margin-left:91.05pt;margin-top:6.7pt;width:243pt;height:141.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" filled="f" stroked="f">
                <v:textbox>
                  <w:txbxContent>
                    <w:p w:rsidR="007A54EB" w:rsidRDefault="007A54EB">
                      <w:pPr>
                        <w:jc w:val="center"/>
                        <w:rPr>
                          <w:rFonts w:ascii="黑体" w:eastAsia="黑体" w:hAnsi="微软雅黑"/>
                          <w:color w:val="422100"/>
                          <w:sz w:val="32"/>
                          <w:szCs w:val="32"/>
                        </w:rPr>
                      </w:pPr>
                      <w:r>
                        <w:rPr>
                          <w:rFonts w:ascii="黑体" w:eastAsia="黑体" w:hAnsi="微软雅黑" w:hint="eastAsia"/>
                          <w:color w:val="422100"/>
                          <w:sz w:val="32"/>
                          <w:szCs w:val="32"/>
                        </w:rPr>
                        <w:t>广州</w:t>
                      </w:r>
                      <w:r>
                        <w:rPr>
                          <w:rFonts w:ascii="黑体" w:eastAsia="黑体" w:hAnsi="微软雅黑"/>
                          <w:color w:val="422100"/>
                          <w:sz w:val="32"/>
                          <w:szCs w:val="32"/>
                        </w:rPr>
                        <w:t>期货</w:t>
                      </w:r>
                      <w:r>
                        <w:rPr>
                          <w:rFonts w:ascii="黑体" w:eastAsia="黑体" w:hAnsi="微软雅黑" w:hint="eastAsia"/>
                          <w:color w:val="422100"/>
                          <w:sz w:val="32"/>
                          <w:szCs w:val="32"/>
                        </w:rPr>
                        <w:t xml:space="preserve">研究所 </w:t>
                      </w:r>
                    </w:p>
                    <w:p w:rsidR="007A54EB" w:rsidRDefault="007A54EB">
                      <w:pPr>
                        <w:jc w:val="center"/>
                        <w:rPr>
                          <w:rFonts w:ascii="黑体" w:eastAsia="黑体" w:hAnsi="微软雅黑"/>
                          <w:color w:val="422100"/>
                          <w:sz w:val="28"/>
                          <w:szCs w:val="28"/>
                        </w:rPr>
                      </w:pPr>
                      <w:r>
                        <w:rPr>
                          <w:rFonts w:ascii="黑体" w:eastAsia="黑体" w:hAnsi="微软雅黑" w:hint="eastAsia"/>
                          <w:color w:val="422100"/>
                          <w:sz w:val="28"/>
                          <w:szCs w:val="28"/>
                        </w:rPr>
                        <w:t>叶倩宁 F3022667</w:t>
                      </w:r>
                    </w:p>
                    <w:p w:rsidR="007A54EB" w:rsidRDefault="007A54EB">
                      <w:pPr>
                        <w:jc w:val="center"/>
                        <w:rPr>
                          <w:rFonts w:ascii="黑体" w:eastAsia="黑体" w:hAnsi="微软雅黑"/>
                          <w:color w:val="422100"/>
                          <w:sz w:val="24"/>
                          <w:szCs w:val="24"/>
                        </w:rPr>
                      </w:pPr>
                      <w:r>
                        <w:rPr>
                          <w:rFonts w:ascii="黑体" w:eastAsia="黑体" w:hAnsi="微软雅黑"/>
                          <w:color w:val="422100"/>
                          <w:sz w:val="24"/>
                          <w:szCs w:val="24"/>
                        </w:rPr>
                        <w:t>201</w:t>
                      </w:r>
                      <w:r>
                        <w:rPr>
                          <w:rFonts w:ascii="黑体" w:eastAsia="黑体" w:hAnsi="微软雅黑" w:hint="eastAsia"/>
                          <w:color w:val="422100"/>
                          <w:sz w:val="24"/>
                          <w:szCs w:val="24"/>
                        </w:rPr>
                        <w:t>7</w:t>
                      </w:r>
                      <w:r>
                        <w:rPr>
                          <w:rFonts w:ascii="黑体" w:eastAsia="黑体" w:hAnsi="微软雅黑"/>
                          <w:color w:val="422100"/>
                          <w:sz w:val="24"/>
                          <w:szCs w:val="24"/>
                        </w:rPr>
                        <w:t>-</w:t>
                      </w:r>
                      <w:r>
                        <w:rPr>
                          <w:rFonts w:ascii="黑体" w:eastAsia="黑体" w:hAnsi="微软雅黑" w:hint="eastAsia"/>
                          <w:color w:val="422100"/>
                          <w:sz w:val="24"/>
                          <w:szCs w:val="24"/>
                        </w:rPr>
                        <w:t>10</w:t>
                      </w:r>
                    </w:p>
                  </w:txbxContent>
                </v:textbox>
              </v:rect>
            </w:pict>
          </mc:Fallback>
        </mc:AlternateContent>
      </w: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pStyle w:val="p15"/>
        <w:spacing w:line="360" w:lineRule="auto"/>
        <w:jc w:val="center"/>
        <w:rPr>
          <w:rFonts w:ascii="新宋体" w:eastAsia="新宋体" w:hAnsi="新宋体"/>
          <w:color w:val="FFFFFF"/>
          <w:kern w:val="2"/>
          <w:sz w:val="36"/>
          <w:szCs w:val="36"/>
        </w:rPr>
      </w:pPr>
    </w:p>
    <w:p w:rsidR="00937CC5" w:rsidRDefault="00937CC5">
      <w:pPr>
        <w:spacing w:beforeLines="50" w:before="156" w:afterLines="50" w:after="156" w:line="360" w:lineRule="auto"/>
        <w:jc w:val="center"/>
        <w:rPr>
          <w:rFonts w:ascii="宋体" w:hAnsi="宋体" w:cs="宋体"/>
          <w:b/>
          <w:kern w:val="0"/>
          <w:sz w:val="24"/>
          <w:szCs w:val="24"/>
        </w:rPr>
      </w:pPr>
    </w:p>
    <w:p w:rsidR="00937CC5" w:rsidRDefault="007A54EB">
      <w:pPr>
        <w:spacing w:beforeLines="50" w:before="156" w:afterLines="50" w:after="156" w:line="360" w:lineRule="auto"/>
        <w:jc w:val="center"/>
        <w:rPr>
          <w:rFonts w:ascii="宋体" w:hAnsi="宋体" w:cs="宋体"/>
          <w:b/>
          <w:kern w:val="0"/>
          <w:sz w:val="24"/>
          <w:szCs w:val="24"/>
        </w:rPr>
      </w:pPr>
      <w:r>
        <w:rPr>
          <w:rFonts w:ascii="宋体" w:hAnsi="宋体" w:cs="宋体" w:hint="eastAsia"/>
          <w:b/>
          <w:kern w:val="0"/>
          <w:sz w:val="24"/>
          <w:szCs w:val="24"/>
        </w:rPr>
        <w:t xml:space="preserve"> </w:t>
      </w:r>
    </w:p>
    <w:p w:rsidR="00937CC5" w:rsidRDefault="00937CC5">
      <w:pPr>
        <w:spacing w:beforeLines="50" w:before="156" w:afterLines="50" w:after="156" w:line="360" w:lineRule="auto"/>
        <w:jc w:val="center"/>
        <w:rPr>
          <w:rFonts w:ascii="华文楷体" w:hAnsi="华文楷体" w:cs="宋体"/>
          <w:b/>
          <w:kern w:val="0"/>
          <w:sz w:val="28"/>
          <w:szCs w:val="28"/>
        </w:rPr>
      </w:pPr>
    </w:p>
    <w:p w:rsidR="00937CC5" w:rsidRDefault="007A54EB">
      <w:pPr>
        <w:spacing w:beforeLines="100" w:before="312" w:afterLines="100" w:after="312"/>
        <w:jc w:val="center"/>
        <w:rPr>
          <w:rFonts w:ascii="华文楷体" w:hAnsi="华文楷体" w:cs="宋体"/>
          <w:b/>
          <w:kern w:val="0"/>
          <w:sz w:val="28"/>
          <w:szCs w:val="28"/>
        </w:rPr>
      </w:pPr>
      <w:r>
        <w:rPr>
          <w:rFonts w:ascii="华文楷体" w:hAnsi="华文楷体" w:cs="宋体" w:hint="eastAsia"/>
          <w:b/>
          <w:kern w:val="0"/>
          <w:sz w:val="28"/>
          <w:szCs w:val="28"/>
        </w:rPr>
        <w:lastRenderedPageBreak/>
        <w:t>沪指</w:t>
      </w:r>
      <w:r w:rsidR="00183BDE">
        <w:rPr>
          <w:rFonts w:ascii="华文楷体" w:hAnsi="华文楷体" w:cs="宋体" w:hint="eastAsia"/>
          <w:b/>
          <w:kern w:val="0"/>
          <w:sz w:val="28"/>
          <w:szCs w:val="28"/>
        </w:rPr>
        <w:t>六连阳强势站上3400点关口</w:t>
      </w:r>
      <w:r w:rsidR="00106510">
        <w:rPr>
          <w:rFonts w:ascii="华文楷体" w:hAnsi="华文楷体" w:cs="宋体" w:hint="eastAsia"/>
          <w:b/>
          <w:kern w:val="0"/>
          <w:sz w:val="28"/>
          <w:szCs w:val="28"/>
        </w:rPr>
        <w:t xml:space="preserve"> </w:t>
      </w:r>
      <w:proofErr w:type="gramStart"/>
      <w:r w:rsidR="00106510">
        <w:rPr>
          <w:rFonts w:ascii="华文楷体" w:hAnsi="华文楷体" w:cs="宋体" w:hint="eastAsia"/>
          <w:b/>
          <w:kern w:val="0"/>
          <w:sz w:val="28"/>
          <w:szCs w:val="28"/>
        </w:rPr>
        <w:t>消费股</w:t>
      </w:r>
      <w:proofErr w:type="gramEnd"/>
      <w:r w:rsidR="00183BDE">
        <w:rPr>
          <w:rFonts w:ascii="华文楷体" w:hAnsi="华文楷体" w:cs="宋体" w:hint="eastAsia"/>
          <w:b/>
          <w:kern w:val="0"/>
          <w:sz w:val="28"/>
          <w:szCs w:val="28"/>
        </w:rPr>
        <w:t>走强</w:t>
      </w:r>
    </w:p>
    <w:p w:rsidR="00937CC5" w:rsidRDefault="007A54EB">
      <w:pPr>
        <w:spacing w:beforeLines="100" w:before="312" w:afterLines="100" w:after="312"/>
        <w:rPr>
          <w:rFonts w:ascii="华文楷体" w:hAnsi="华文楷体" w:cs="Arial"/>
          <w:color w:val="333333"/>
          <w:szCs w:val="21"/>
          <w:shd w:val="clear" w:color="auto" w:fill="FFFFFF"/>
        </w:rPr>
      </w:pPr>
      <w:r>
        <w:rPr>
          <w:rFonts w:ascii="华文楷体" w:hAnsi="华文楷体" w:hint="eastAsia"/>
          <w:b/>
          <w:color w:val="000000"/>
        </w:rPr>
        <w:t>一周行情</w:t>
      </w:r>
    </w:p>
    <w:p w:rsidR="00050406" w:rsidRPr="00050406" w:rsidRDefault="00050406" w:rsidP="00050406">
      <w:pPr>
        <w:spacing w:beforeLines="100" w:before="312" w:afterLines="100" w:after="312"/>
        <w:jc w:val="left"/>
        <w:rPr>
          <w:rFonts w:ascii="华文楷体" w:hAnsi="华文楷体" w:cs="Arial"/>
          <w:color w:val="333333"/>
          <w:szCs w:val="21"/>
          <w:shd w:val="clear" w:color="auto" w:fill="FFFFFF"/>
        </w:rPr>
      </w:pPr>
      <w:r w:rsidRPr="00050406">
        <w:rPr>
          <w:rFonts w:ascii="华文楷体" w:hAnsi="华文楷体" w:cs="Arial" w:hint="eastAsia"/>
          <w:color w:val="333333"/>
          <w:szCs w:val="21"/>
          <w:shd w:val="clear" w:color="auto" w:fill="FFFFFF"/>
        </w:rPr>
        <w:t>现指方面，本周A</w:t>
      </w:r>
      <w:proofErr w:type="gramStart"/>
      <w:r w:rsidRPr="00050406">
        <w:rPr>
          <w:rFonts w:ascii="华文楷体" w:hAnsi="华文楷体" w:cs="Arial" w:hint="eastAsia"/>
          <w:color w:val="333333"/>
          <w:szCs w:val="21"/>
          <w:shd w:val="clear" w:color="auto" w:fill="FFFFFF"/>
        </w:rPr>
        <w:t>股市场</w:t>
      </w:r>
      <w:r w:rsidR="0078244F">
        <w:rPr>
          <w:rFonts w:ascii="华文楷体" w:hAnsi="华文楷体" w:cs="Arial" w:hint="eastAsia"/>
          <w:color w:val="333333"/>
          <w:szCs w:val="21"/>
          <w:shd w:val="clear" w:color="auto" w:fill="FFFFFF"/>
        </w:rPr>
        <w:t>六连</w:t>
      </w:r>
      <w:proofErr w:type="gramEnd"/>
      <w:r w:rsidR="0078244F">
        <w:rPr>
          <w:rFonts w:ascii="华文楷体" w:hAnsi="华文楷体" w:cs="Arial" w:hint="eastAsia"/>
          <w:color w:val="333333"/>
          <w:szCs w:val="21"/>
          <w:shd w:val="clear" w:color="auto" w:fill="FFFFFF"/>
        </w:rPr>
        <w:t>阳强势站上3400点上方，</w:t>
      </w:r>
      <w:r w:rsidRPr="00050406">
        <w:rPr>
          <w:rFonts w:ascii="华文楷体" w:hAnsi="华文楷体" w:cs="Arial" w:hint="eastAsia"/>
          <w:color w:val="333333"/>
          <w:szCs w:val="21"/>
          <w:shd w:val="clear" w:color="auto" w:fill="FFFFFF"/>
        </w:rPr>
        <w:t>沪综指周涨1.13%至3416.81</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，深成指周涨1.83%至11444.52</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w:t>
      </w:r>
      <w:proofErr w:type="gramStart"/>
      <w:r w:rsidRPr="00050406">
        <w:rPr>
          <w:rFonts w:ascii="华文楷体" w:hAnsi="华文楷体" w:cs="Arial" w:hint="eastAsia"/>
          <w:color w:val="333333"/>
          <w:szCs w:val="21"/>
          <w:shd w:val="clear" w:color="auto" w:fill="FFFFFF"/>
        </w:rPr>
        <w:t>创业板周小涨</w:t>
      </w:r>
      <w:proofErr w:type="gramEnd"/>
      <w:r w:rsidRPr="00050406">
        <w:rPr>
          <w:rFonts w:ascii="华文楷体" w:hAnsi="华文楷体" w:cs="Arial" w:hint="eastAsia"/>
          <w:color w:val="333333"/>
          <w:szCs w:val="21"/>
          <w:shd w:val="clear" w:color="auto" w:fill="FFFFFF"/>
        </w:rPr>
        <w:t>0.85%至1896.22</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。沪深300指数周涨0.71%至4021.97</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，上证50</w:t>
      </w:r>
      <w:r w:rsidR="0078244F">
        <w:rPr>
          <w:rFonts w:ascii="华文楷体" w:hAnsi="华文楷体" w:cs="Arial" w:hint="eastAsia"/>
          <w:color w:val="333333"/>
          <w:szCs w:val="21"/>
          <w:shd w:val="clear" w:color="auto" w:fill="FFFFFF"/>
        </w:rPr>
        <w:t>是沪指站上3400点的最大</w:t>
      </w:r>
      <w:proofErr w:type="gramStart"/>
      <w:r w:rsidR="0078244F">
        <w:rPr>
          <w:rFonts w:ascii="华文楷体" w:hAnsi="华文楷体" w:cs="Arial" w:hint="eastAsia"/>
          <w:color w:val="333333"/>
          <w:szCs w:val="21"/>
          <w:shd w:val="clear" w:color="auto" w:fill="FFFFFF"/>
        </w:rPr>
        <w:t>功臣</w:t>
      </w:r>
      <w:r w:rsidRPr="00050406">
        <w:rPr>
          <w:rFonts w:ascii="华文楷体" w:hAnsi="华文楷体" w:cs="Arial" w:hint="eastAsia"/>
          <w:color w:val="333333"/>
          <w:szCs w:val="21"/>
          <w:shd w:val="clear" w:color="auto" w:fill="FFFFFF"/>
        </w:rPr>
        <w:t>周涨</w:t>
      </w:r>
      <w:proofErr w:type="gramEnd"/>
      <w:r w:rsidRPr="00050406">
        <w:rPr>
          <w:rFonts w:ascii="华文楷体" w:hAnsi="华文楷体" w:cs="Arial" w:hint="eastAsia"/>
          <w:color w:val="333333"/>
          <w:szCs w:val="21"/>
          <w:shd w:val="clear" w:color="auto" w:fill="FFFFFF"/>
        </w:rPr>
        <w:t>2.80%至2814.27</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，中证500指数周小涨0.90%至6630.81</w:t>
      </w:r>
      <w:r w:rsidR="00166879">
        <w:rPr>
          <w:rFonts w:ascii="华文楷体" w:hAnsi="华文楷体" w:cs="Arial" w:hint="eastAsia"/>
          <w:color w:val="333333"/>
          <w:szCs w:val="21"/>
          <w:shd w:val="clear" w:color="auto" w:fill="FFFFFF"/>
        </w:rPr>
        <w:t>点</w:t>
      </w:r>
      <w:r w:rsidRPr="00050406">
        <w:rPr>
          <w:rFonts w:ascii="华文楷体" w:hAnsi="华文楷体" w:cs="Arial" w:hint="eastAsia"/>
          <w:color w:val="333333"/>
          <w:szCs w:val="21"/>
          <w:shd w:val="clear" w:color="auto" w:fill="FFFFFF"/>
        </w:rPr>
        <w:t>。</w:t>
      </w:r>
      <w:proofErr w:type="gramStart"/>
      <w:r w:rsidR="0078244F">
        <w:rPr>
          <w:rFonts w:ascii="华文楷体" w:hAnsi="华文楷体" w:cs="Arial" w:hint="eastAsia"/>
          <w:color w:val="333333"/>
          <w:szCs w:val="21"/>
          <w:shd w:val="clear" w:color="auto" w:fill="FFFFFF"/>
        </w:rPr>
        <w:t>消费股</w:t>
      </w:r>
      <w:proofErr w:type="gramEnd"/>
      <w:r w:rsidR="0078244F">
        <w:rPr>
          <w:rFonts w:ascii="华文楷体" w:hAnsi="华文楷体" w:cs="Arial" w:hint="eastAsia"/>
          <w:color w:val="333333"/>
          <w:szCs w:val="21"/>
          <w:shd w:val="clear" w:color="auto" w:fill="FFFFFF"/>
        </w:rPr>
        <w:t>中食品饮料行业本周表现突出</w:t>
      </w:r>
      <w:r w:rsidR="00166879">
        <w:rPr>
          <w:rFonts w:ascii="华文楷体" w:hAnsi="华文楷体" w:cs="Arial" w:hint="eastAsia"/>
          <w:color w:val="333333"/>
          <w:szCs w:val="21"/>
          <w:shd w:val="clear" w:color="auto" w:fill="FFFFFF"/>
        </w:rPr>
        <w:t>，</w:t>
      </w:r>
      <w:r w:rsidR="0078244F">
        <w:rPr>
          <w:rFonts w:ascii="华文楷体" w:hAnsi="华文楷体" w:cs="Arial" w:hint="eastAsia"/>
          <w:color w:val="333333"/>
          <w:szCs w:val="21"/>
          <w:shd w:val="clear" w:color="auto" w:fill="FFFFFF"/>
        </w:rPr>
        <w:t>周涨幅超过6%</w:t>
      </w:r>
      <w:r w:rsidR="00166879">
        <w:rPr>
          <w:rFonts w:ascii="华文楷体" w:hAnsi="华文楷体" w:cs="Arial" w:hint="eastAsia"/>
          <w:color w:val="333333"/>
          <w:szCs w:val="21"/>
          <w:shd w:val="clear" w:color="auto" w:fill="FFFFFF"/>
        </w:rPr>
        <w:t>，新</w:t>
      </w:r>
      <w:r w:rsidR="0078244F">
        <w:rPr>
          <w:rFonts w:ascii="华文楷体" w:hAnsi="华文楷体" w:cs="Arial" w:hint="eastAsia"/>
          <w:color w:val="333333"/>
          <w:szCs w:val="21"/>
          <w:shd w:val="clear" w:color="auto" w:fill="FFFFFF"/>
        </w:rPr>
        <w:t>公布的9月份工业企业利润</w:t>
      </w:r>
      <w:r w:rsidR="001767FC">
        <w:rPr>
          <w:rFonts w:ascii="华文楷体" w:hAnsi="华文楷体" w:cs="Arial" w:hint="eastAsia"/>
          <w:color w:val="333333"/>
          <w:szCs w:val="21"/>
          <w:shd w:val="clear" w:color="auto" w:fill="FFFFFF"/>
        </w:rPr>
        <w:t>中</w:t>
      </w:r>
      <w:r w:rsidR="0078244F">
        <w:rPr>
          <w:rFonts w:ascii="华文楷体" w:hAnsi="华文楷体" w:cs="Arial" w:hint="eastAsia"/>
          <w:color w:val="333333"/>
          <w:szCs w:val="21"/>
          <w:shd w:val="clear" w:color="auto" w:fill="FFFFFF"/>
        </w:rPr>
        <w:t>酒、饮料和精制茶制造业</w:t>
      </w:r>
      <w:r w:rsidR="001767FC">
        <w:rPr>
          <w:rFonts w:ascii="华文楷体" w:hAnsi="华文楷体" w:cs="Arial" w:hint="eastAsia"/>
          <w:color w:val="333333"/>
          <w:szCs w:val="21"/>
          <w:shd w:val="clear" w:color="auto" w:fill="FFFFFF"/>
        </w:rPr>
        <w:t>也是</w:t>
      </w:r>
      <w:r w:rsidR="0078244F">
        <w:rPr>
          <w:rFonts w:ascii="华文楷体" w:hAnsi="华文楷体" w:cs="Arial" w:hint="eastAsia"/>
          <w:color w:val="333333"/>
          <w:szCs w:val="21"/>
          <w:shd w:val="clear" w:color="auto" w:fill="FFFFFF"/>
        </w:rPr>
        <w:t>同比增长达52.9%大幅领先其它行业。成交量方面，本周仍然处于较低量能状态</w:t>
      </w:r>
      <w:r w:rsidR="00984C6B">
        <w:rPr>
          <w:rFonts w:ascii="华文楷体" w:hAnsi="华文楷体" w:cs="Arial" w:hint="eastAsia"/>
          <w:color w:val="333333"/>
          <w:szCs w:val="21"/>
          <w:shd w:val="clear" w:color="auto" w:fill="FFFFFF"/>
        </w:rPr>
        <w:t>，周</w:t>
      </w:r>
      <w:r w:rsidR="00166879">
        <w:rPr>
          <w:rFonts w:ascii="华文楷体" w:hAnsi="华文楷体" w:cs="Arial" w:hint="eastAsia"/>
          <w:color w:val="333333"/>
          <w:szCs w:val="21"/>
          <w:shd w:val="clear" w:color="auto" w:fill="FFFFFF"/>
        </w:rPr>
        <w:t>四、周五</w:t>
      </w:r>
      <w:r w:rsidR="00984C6B">
        <w:rPr>
          <w:rFonts w:ascii="华文楷体" w:hAnsi="华文楷体" w:cs="Arial" w:hint="eastAsia"/>
          <w:color w:val="333333"/>
          <w:szCs w:val="21"/>
          <w:shd w:val="clear" w:color="auto" w:fill="FFFFFF"/>
        </w:rPr>
        <w:t>两市成交</w:t>
      </w:r>
      <w:r w:rsidR="00166879">
        <w:rPr>
          <w:rFonts w:ascii="华文楷体" w:hAnsi="华文楷体" w:cs="Arial" w:hint="eastAsia"/>
          <w:color w:val="333333"/>
          <w:szCs w:val="21"/>
          <w:shd w:val="clear" w:color="auto" w:fill="FFFFFF"/>
        </w:rPr>
        <w:t>额有小幅上升</w:t>
      </w:r>
      <w:r w:rsidR="00984C6B">
        <w:rPr>
          <w:rFonts w:ascii="华文楷体" w:hAnsi="华文楷体" w:cs="Arial" w:hint="eastAsia"/>
          <w:color w:val="333333"/>
          <w:szCs w:val="21"/>
          <w:shd w:val="clear" w:color="auto" w:fill="FFFFFF"/>
        </w:rPr>
        <w:t>。</w:t>
      </w:r>
    </w:p>
    <w:p w:rsidR="00050406" w:rsidRPr="00050406" w:rsidRDefault="00050406" w:rsidP="00050406">
      <w:pPr>
        <w:spacing w:beforeLines="100" w:before="312" w:afterLines="100" w:after="312"/>
        <w:jc w:val="left"/>
        <w:rPr>
          <w:rFonts w:ascii="华文楷体" w:hAnsi="华文楷体" w:cs="Arial"/>
          <w:color w:val="333333"/>
          <w:szCs w:val="21"/>
          <w:shd w:val="clear" w:color="auto" w:fill="FFFFFF"/>
        </w:rPr>
      </w:pPr>
      <w:r w:rsidRPr="00050406">
        <w:rPr>
          <w:rFonts w:ascii="华文楷体" w:hAnsi="华文楷体" w:cs="Arial" w:hint="eastAsia"/>
          <w:color w:val="333333"/>
          <w:szCs w:val="21"/>
          <w:shd w:val="clear" w:color="auto" w:fill="FFFFFF"/>
        </w:rPr>
        <w:t>期指市场方面，IF1711跟随现指向上突破，周涨2.81%至4021.8，贴水收窄至0.17，成交5.25万手，持仓增至2.23万手。IH1711周涨2.94%至2821.4，升水7.13，成交增至3.67万手，持仓增至1.48万手。IC1711走势略弱，周涨1.09%至6601.4，贴水收窄至29.41，成交增至5.28万手，持仓至1.78万手。</w:t>
      </w:r>
    </w:p>
    <w:p w:rsidR="00984C6B" w:rsidRDefault="00050406" w:rsidP="00050406">
      <w:pPr>
        <w:spacing w:beforeLines="100" w:before="312" w:afterLines="100" w:after="312"/>
        <w:jc w:val="left"/>
        <w:rPr>
          <w:rFonts w:ascii="华文楷体" w:hAnsi="华文楷体" w:cs="Arial"/>
          <w:color w:val="333333"/>
          <w:szCs w:val="21"/>
          <w:shd w:val="clear" w:color="auto" w:fill="FFFFFF"/>
        </w:rPr>
      </w:pPr>
      <w:r w:rsidRPr="00050406">
        <w:rPr>
          <w:rFonts w:ascii="华文楷体" w:hAnsi="华文楷体" w:cs="Arial" w:hint="eastAsia"/>
          <w:color w:val="333333"/>
          <w:szCs w:val="21"/>
          <w:shd w:val="clear" w:color="auto" w:fill="FFFFFF"/>
        </w:rPr>
        <w:t>逻辑看，一是，</w:t>
      </w:r>
      <w:r w:rsidR="00984C6B">
        <w:rPr>
          <w:rFonts w:ascii="华文楷体" w:hAnsi="华文楷体" w:cs="Arial" w:hint="eastAsia"/>
          <w:color w:val="333333"/>
          <w:szCs w:val="21"/>
          <w:shd w:val="clear" w:color="auto" w:fill="FFFFFF"/>
        </w:rPr>
        <w:t>宏观经济数据的持续向好，为大盘走高提供了内源动力</w:t>
      </w:r>
      <w:r w:rsidRPr="00050406">
        <w:rPr>
          <w:rFonts w:ascii="华文楷体" w:hAnsi="华文楷体" w:cs="Arial" w:hint="eastAsia"/>
          <w:color w:val="333333"/>
          <w:szCs w:val="21"/>
          <w:shd w:val="clear" w:color="auto" w:fill="FFFFFF"/>
        </w:rPr>
        <w:t>。二是，</w:t>
      </w:r>
      <w:r w:rsidR="00984C6B">
        <w:rPr>
          <w:rFonts w:ascii="华文楷体" w:hAnsi="华文楷体" w:cs="Arial" w:hint="eastAsia"/>
          <w:color w:val="333333"/>
          <w:szCs w:val="21"/>
          <w:shd w:val="clear" w:color="auto" w:fill="FFFFFF"/>
        </w:rPr>
        <w:t>近期三季报的密集公布</w:t>
      </w:r>
      <w:r w:rsidRPr="00050406">
        <w:rPr>
          <w:rFonts w:ascii="华文楷体" w:hAnsi="华文楷体" w:cs="Arial" w:hint="eastAsia"/>
          <w:color w:val="333333"/>
          <w:szCs w:val="21"/>
          <w:shd w:val="clear" w:color="auto" w:fill="FFFFFF"/>
        </w:rPr>
        <w:t>，为市场运作提供了新的</w:t>
      </w:r>
      <w:r w:rsidR="00984C6B">
        <w:rPr>
          <w:rFonts w:ascii="华文楷体" w:hAnsi="华文楷体" w:cs="Arial" w:hint="eastAsia"/>
          <w:color w:val="333333"/>
          <w:szCs w:val="21"/>
          <w:shd w:val="clear" w:color="auto" w:fill="FFFFFF"/>
        </w:rPr>
        <w:t>热点</w:t>
      </w:r>
      <w:r w:rsidRPr="00050406">
        <w:rPr>
          <w:rFonts w:ascii="华文楷体" w:hAnsi="华文楷体" w:cs="Arial" w:hint="eastAsia"/>
          <w:color w:val="333333"/>
          <w:szCs w:val="21"/>
          <w:shd w:val="clear" w:color="auto" w:fill="FFFFFF"/>
        </w:rPr>
        <w:t>。</w:t>
      </w:r>
      <w:r w:rsidR="00984C6B">
        <w:rPr>
          <w:rFonts w:ascii="华文楷体" w:hAnsi="华文楷体" w:cs="Arial" w:hint="eastAsia"/>
          <w:color w:val="333333"/>
          <w:szCs w:val="21"/>
          <w:shd w:val="clear" w:color="auto" w:fill="FFFFFF"/>
        </w:rPr>
        <w:t>三是，主要发达经济体经济持续复苏，海外</w:t>
      </w:r>
      <w:r w:rsidRPr="00050406">
        <w:rPr>
          <w:rFonts w:ascii="华文楷体" w:hAnsi="华文楷体" w:cs="Arial" w:hint="eastAsia"/>
          <w:color w:val="333333"/>
          <w:szCs w:val="21"/>
          <w:shd w:val="clear" w:color="auto" w:fill="FFFFFF"/>
        </w:rPr>
        <w:t>市场</w:t>
      </w:r>
      <w:r w:rsidR="00984C6B">
        <w:rPr>
          <w:rFonts w:ascii="华文楷体" w:hAnsi="华文楷体" w:cs="Arial" w:hint="eastAsia"/>
          <w:color w:val="333333"/>
          <w:szCs w:val="21"/>
          <w:shd w:val="clear" w:color="auto" w:fill="FFFFFF"/>
        </w:rPr>
        <w:t>股指不断创新高</w:t>
      </w:r>
      <w:r w:rsidRPr="00050406">
        <w:rPr>
          <w:rFonts w:ascii="华文楷体" w:hAnsi="华文楷体" w:cs="Arial" w:hint="eastAsia"/>
          <w:color w:val="333333"/>
          <w:szCs w:val="21"/>
          <w:shd w:val="clear" w:color="auto" w:fill="FFFFFF"/>
        </w:rPr>
        <w:t>，</w:t>
      </w:r>
      <w:r w:rsidR="00984C6B">
        <w:rPr>
          <w:rFonts w:ascii="华文楷体" w:hAnsi="华文楷体" w:cs="Arial" w:hint="eastAsia"/>
          <w:color w:val="333333"/>
          <w:szCs w:val="21"/>
          <w:shd w:val="clear" w:color="auto" w:fill="FFFFFF"/>
        </w:rPr>
        <w:t>为</w:t>
      </w:r>
      <w:r w:rsidRPr="00050406">
        <w:rPr>
          <w:rFonts w:ascii="华文楷体" w:hAnsi="华文楷体" w:cs="Arial" w:hint="eastAsia"/>
          <w:color w:val="333333"/>
          <w:szCs w:val="21"/>
          <w:shd w:val="clear" w:color="auto" w:fill="FFFFFF"/>
        </w:rPr>
        <w:t>国内市场提供了</w:t>
      </w:r>
      <w:r w:rsidR="00984C6B">
        <w:rPr>
          <w:rFonts w:ascii="华文楷体" w:hAnsi="华文楷体" w:cs="Arial" w:hint="eastAsia"/>
          <w:color w:val="333333"/>
          <w:szCs w:val="21"/>
          <w:shd w:val="clear" w:color="auto" w:fill="FFFFFF"/>
        </w:rPr>
        <w:t>支撑</w:t>
      </w:r>
      <w:r w:rsidRPr="00050406">
        <w:rPr>
          <w:rFonts w:ascii="华文楷体" w:hAnsi="华文楷体" w:cs="Arial" w:hint="eastAsia"/>
          <w:color w:val="333333"/>
          <w:szCs w:val="21"/>
          <w:shd w:val="clear" w:color="auto" w:fill="FFFFFF"/>
        </w:rPr>
        <w:t>。后市看，</w:t>
      </w:r>
      <w:r w:rsidR="00984C6B">
        <w:rPr>
          <w:rFonts w:ascii="华文楷体" w:hAnsi="华文楷体" w:cs="Arial" w:hint="eastAsia"/>
          <w:color w:val="333333"/>
          <w:szCs w:val="21"/>
          <w:shd w:val="clear" w:color="auto" w:fill="FFFFFF"/>
        </w:rPr>
        <w:t>沪指连续两天站上3400点上方，企稳迹象明显，这也印证我们在</w:t>
      </w:r>
      <w:proofErr w:type="gramStart"/>
      <w:r w:rsidR="00984C6B">
        <w:rPr>
          <w:rFonts w:ascii="华文楷体" w:hAnsi="华文楷体" w:cs="Arial" w:hint="eastAsia"/>
          <w:color w:val="333333"/>
          <w:szCs w:val="21"/>
          <w:shd w:val="clear" w:color="auto" w:fill="FFFFFF"/>
        </w:rPr>
        <w:t>前期报告</w:t>
      </w:r>
      <w:proofErr w:type="gramEnd"/>
      <w:r w:rsidR="00984C6B">
        <w:rPr>
          <w:rFonts w:ascii="华文楷体" w:hAnsi="华文楷体" w:cs="Arial" w:hint="eastAsia"/>
          <w:color w:val="333333"/>
          <w:szCs w:val="21"/>
          <w:shd w:val="clear" w:color="auto" w:fill="FFFFFF"/>
        </w:rPr>
        <w:t>中一直强调在基本面保持稳健的情况下，大盘将长期处于震荡缓慢上行格局，突破3400点甚至3600点关口只是时间问题的观点</w:t>
      </w:r>
      <w:r w:rsidR="005E2688">
        <w:rPr>
          <w:rFonts w:ascii="华文楷体" w:hAnsi="华文楷体" w:cs="Arial" w:hint="eastAsia"/>
          <w:color w:val="333333"/>
          <w:szCs w:val="21"/>
          <w:shd w:val="clear" w:color="auto" w:fill="FFFFFF"/>
        </w:rPr>
        <w:t>，预计后市依然维持此逻辑不变，建议重点关注消费股、金融股、低价有业绩支撑的成长股。</w:t>
      </w:r>
    </w:p>
    <w:p w:rsidR="005E2688" w:rsidRDefault="00050406" w:rsidP="00050406">
      <w:pPr>
        <w:spacing w:beforeLines="100" w:before="312" w:afterLines="100" w:after="312"/>
        <w:jc w:val="left"/>
        <w:rPr>
          <w:rFonts w:ascii="华文楷体" w:hAnsi="华文楷体" w:cs="Arial"/>
          <w:color w:val="333333"/>
          <w:szCs w:val="21"/>
          <w:shd w:val="clear" w:color="auto" w:fill="FFFFFF"/>
        </w:rPr>
      </w:pPr>
      <w:r w:rsidRPr="00050406">
        <w:rPr>
          <w:rFonts w:ascii="华文楷体" w:hAnsi="华文楷体" w:cs="Arial" w:hint="eastAsia"/>
          <w:color w:val="333333"/>
          <w:szCs w:val="21"/>
          <w:shd w:val="clear" w:color="auto" w:fill="FFFFFF"/>
        </w:rPr>
        <w:t>期指市场受现指上冲和自身形态结构走好影响，延续缓慢式上行。其中IH、IF、IC轮流上涨，验证了慢牛市的初步特征。后市看，期指</w:t>
      </w:r>
      <w:proofErr w:type="gramStart"/>
      <w:r w:rsidRPr="00050406">
        <w:rPr>
          <w:rFonts w:ascii="华文楷体" w:hAnsi="华文楷体" w:cs="Arial" w:hint="eastAsia"/>
          <w:color w:val="333333"/>
          <w:szCs w:val="21"/>
          <w:shd w:val="clear" w:color="auto" w:fill="FFFFFF"/>
        </w:rPr>
        <w:t>轮动仍将</w:t>
      </w:r>
      <w:proofErr w:type="gramEnd"/>
      <w:r w:rsidRPr="00050406">
        <w:rPr>
          <w:rFonts w:ascii="华文楷体" w:hAnsi="华文楷体" w:cs="Arial" w:hint="eastAsia"/>
          <w:color w:val="333333"/>
          <w:szCs w:val="21"/>
          <w:shd w:val="clear" w:color="auto" w:fill="FFFFFF"/>
        </w:rPr>
        <w:t>延续，震荡势上行仍为主流。策略看，少量、低吸高抛；</w:t>
      </w:r>
      <w:r w:rsidR="005E2688">
        <w:rPr>
          <w:rFonts w:ascii="华文楷体" w:hAnsi="华文楷体" w:cs="Arial" w:hint="eastAsia"/>
          <w:color w:val="333333"/>
          <w:szCs w:val="21"/>
          <w:shd w:val="clear" w:color="auto" w:fill="FFFFFF"/>
        </w:rPr>
        <w:t>下周可适当尝试多IC操作</w:t>
      </w:r>
      <w:r w:rsidRPr="00050406">
        <w:rPr>
          <w:rFonts w:ascii="华文楷体" w:hAnsi="华文楷体" w:cs="Arial" w:hint="eastAsia"/>
          <w:color w:val="333333"/>
          <w:szCs w:val="21"/>
          <w:shd w:val="clear" w:color="auto" w:fill="FFFFFF"/>
        </w:rPr>
        <w:t>或依节奏尝试期指间对冲。</w:t>
      </w:r>
    </w:p>
    <w:p w:rsidR="00937CC5" w:rsidRDefault="007A54EB" w:rsidP="00050406">
      <w:pPr>
        <w:spacing w:beforeLines="100" w:before="312" w:afterLines="100" w:after="312"/>
        <w:jc w:val="left"/>
        <w:rPr>
          <w:rFonts w:ascii="华文楷体" w:hAnsi="华文楷体"/>
          <w:b/>
          <w:highlight w:val="lightGray"/>
        </w:rPr>
      </w:pPr>
      <w:r>
        <w:rPr>
          <w:rFonts w:ascii="华文楷体" w:hAnsi="华文楷体" w:hint="eastAsia"/>
          <w:b/>
        </w:rPr>
        <w:t>投资策略</w:t>
      </w:r>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393"/>
      </w:tblGrid>
      <w:tr w:rsidR="00937CC5">
        <w:trPr>
          <w:trHeight w:val="284"/>
        </w:trPr>
        <w:tc>
          <w:tcPr>
            <w:tcW w:w="1135" w:type="dxa"/>
            <w:shd w:val="clear" w:color="auto" w:fill="ED7D31"/>
            <w:vAlign w:val="center"/>
          </w:tcPr>
          <w:p w:rsidR="00937CC5" w:rsidRDefault="007A54EB">
            <w:pPr>
              <w:spacing w:beforeLines="40" w:before="124" w:afterLines="40" w:after="124"/>
              <w:jc w:val="center"/>
              <w:rPr>
                <w:rFonts w:ascii="华文楷体" w:hAnsi="华文楷体"/>
                <w:b/>
                <w:szCs w:val="21"/>
              </w:rPr>
            </w:pPr>
            <w:r>
              <w:rPr>
                <w:rFonts w:ascii="华文楷体" w:hAnsi="华文楷体" w:hint="eastAsia"/>
                <w:b/>
                <w:szCs w:val="21"/>
              </w:rPr>
              <w:t>期限</w:t>
            </w:r>
          </w:p>
        </w:tc>
        <w:tc>
          <w:tcPr>
            <w:tcW w:w="7393" w:type="dxa"/>
            <w:shd w:val="clear" w:color="auto" w:fill="ED7D31"/>
            <w:vAlign w:val="center"/>
          </w:tcPr>
          <w:p w:rsidR="00937CC5" w:rsidRDefault="007A54EB">
            <w:pPr>
              <w:spacing w:beforeLines="40" w:before="124" w:afterLines="40" w:after="124"/>
              <w:jc w:val="center"/>
              <w:rPr>
                <w:rFonts w:ascii="华文楷体" w:hAnsi="华文楷体"/>
                <w:b/>
                <w:szCs w:val="21"/>
              </w:rPr>
            </w:pPr>
            <w:r>
              <w:rPr>
                <w:rFonts w:ascii="华文楷体" w:hAnsi="华文楷体" w:hint="eastAsia"/>
                <w:b/>
                <w:szCs w:val="21"/>
              </w:rPr>
              <w:t>建议</w:t>
            </w:r>
          </w:p>
        </w:tc>
      </w:tr>
      <w:tr w:rsidR="00937CC5">
        <w:trPr>
          <w:trHeight w:val="90"/>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短期</w:t>
            </w:r>
          </w:p>
        </w:tc>
        <w:tc>
          <w:tcPr>
            <w:tcW w:w="7393" w:type="dxa"/>
            <w:vAlign w:val="center"/>
          </w:tcPr>
          <w:p w:rsidR="00937CC5" w:rsidRDefault="007A54EB">
            <w:pPr>
              <w:spacing w:beforeLines="40" w:before="124" w:afterLines="40" w:after="124"/>
              <w:jc w:val="left"/>
              <w:rPr>
                <w:rFonts w:ascii="华文楷体" w:hAnsi="华文楷体" w:cs="Arial"/>
                <w:color w:val="333333"/>
                <w:szCs w:val="21"/>
                <w:shd w:val="clear" w:color="auto" w:fill="FFFFFF"/>
              </w:rPr>
            </w:pPr>
            <w:r>
              <w:rPr>
                <w:rFonts w:ascii="华文楷体" w:hAnsi="华文楷体" w:cs="Arial" w:hint="eastAsia"/>
                <w:color w:val="333333"/>
                <w:szCs w:val="21"/>
                <w:shd w:val="clear" w:color="auto" w:fill="FFFFFF"/>
              </w:rPr>
              <w:t>“金九银十</w:t>
            </w:r>
            <w:r>
              <w:rPr>
                <w:rFonts w:ascii="华文楷体" w:hAnsi="华文楷体" w:cs="Arial"/>
                <w:color w:val="333333"/>
                <w:szCs w:val="21"/>
                <w:shd w:val="clear" w:color="auto" w:fill="FFFFFF"/>
              </w:rPr>
              <w:t>”</w:t>
            </w:r>
            <w:r>
              <w:rPr>
                <w:rFonts w:ascii="华文楷体" w:hAnsi="华文楷体" w:cs="Arial" w:hint="eastAsia"/>
                <w:color w:val="333333"/>
                <w:szCs w:val="21"/>
                <w:shd w:val="clear" w:color="auto" w:fill="FFFFFF"/>
              </w:rPr>
              <w:t>是传统的消费旺季，加上年底是风格转换的时间节点，结合供给侧改革、板块估值及宏观经济数据，建议重点关注可选消费、金融股、钢铁、煤炭、电解铝、新能源车等板块。另外，目前监管部门持续完善A</w:t>
            </w:r>
            <w:proofErr w:type="gramStart"/>
            <w:r>
              <w:rPr>
                <w:rFonts w:ascii="华文楷体" w:hAnsi="华文楷体" w:cs="Arial" w:hint="eastAsia"/>
                <w:color w:val="333333"/>
                <w:szCs w:val="21"/>
                <w:shd w:val="clear" w:color="auto" w:fill="FFFFFF"/>
              </w:rPr>
              <w:t>股制度</w:t>
            </w:r>
            <w:proofErr w:type="gramEnd"/>
            <w:r>
              <w:rPr>
                <w:rFonts w:ascii="华文楷体" w:hAnsi="华文楷体" w:cs="Arial" w:hint="eastAsia"/>
                <w:color w:val="333333"/>
                <w:szCs w:val="21"/>
                <w:shd w:val="clear" w:color="auto" w:fill="FFFFFF"/>
              </w:rPr>
              <w:t>建设以及对于投融资环境的规范，提振投资者信心；</w:t>
            </w:r>
          </w:p>
        </w:tc>
      </w:tr>
      <w:tr w:rsidR="00937CC5">
        <w:trPr>
          <w:trHeight w:val="284"/>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中期</w:t>
            </w:r>
          </w:p>
        </w:tc>
        <w:tc>
          <w:tcPr>
            <w:tcW w:w="7393" w:type="dxa"/>
            <w:vAlign w:val="center"/>
          </w:tcPr>
          <w:p w:rsidR="00937CC5" w:rsidRDefault="007A54EB">
            <w:pPr>
              <w:rPr>
                <w:rFonts w:ascii="华文楷体" w:hAnsi="华文楷体" w:cs="Arial"/>
                <w:color w:val="333333"/>
                <w:szCs w:val="21"/>
                <w:shd w:val="clear" w:color="auto" w:fill="FFFFFF"/>
              </w:rPr>
            </w:pPr>
            <w:r>
              <w:rPr>
                <w:rFonts w:ascii="华文楷体" w:hAnsi="华文楷体" w:cs="Arial" w:hint="eastAsia"/>
                <w:color w:val="333333"/>
                <w:szCs w:val="21"/>
                <w:shd w:val="clear" w:color="auto" w:fill="FFFFFF"/>
              </w:rPr>
              <w:t>结构性交易的博弈机会，投资驱动＋结构改革稳步推进，不过操作可能短期化结构化，预计中短期市场核心波动区间为3100-3500；</w:t>
            </w:r>
          </w:p>
        </w:tc>
      </w:tr>
      <w:tr w:rsidR="00937CC5">
        <w:trPr>
          <w:trHeight w:val="284"/>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长期</w:t>
            </w:r>
          </w:p>
        </w:tc>
        <w:tc>
          <w:tcPr>
            <w:tcW w:w="7393" w:type="dxa"/>
            <w:vAlign w:val="center"/>
          </w:tcPr>
          <w:p w:rsidR="00937CC5" w:rsidRDefault="007A54EB">
            <w:pPr>
              <w:rPr>
                <w:rFonts w:ascii="华文楷体" w:hAnsi="华文楷体" w:cs="Arial"/>
                <w:color w:val="333333"/>
                <w:szCs w:val="21"/>
                <w:shd w:val="clear" w:color="auto" w:fill="FFFFFF"/>
              </w:rPr>
            </w:pPr>
            <w:r>
              <w:rPr>
                <w:rFonts w:ascii="华文楷体" w:hAnsi="华文楷体" w:cs="Arial" w:hint="eastAsia"/>
                <w:color w:val="333333"/>
                <w:szCs w:val="21"/>
                <w:shd w:val="clear" w:color="auto" w:fill="FFFFFF"/>
              </w:rPr>
              <w:t>中长期来看，经济仍是L型走势，全年走势难以出现趋势性投资机会，</w:t>
            </w:r>
            <w:proofErr w:type="gramStart"/>
            <w:r>
              <w:rPr>
                <w:rFonts w:ascii="华文楷体" w:hAnsi="华文楷体" w:cs="Arial" w:hint="eastAsia"/>
                <w:color w:val="333333"/>
                <w:szCs w:val="21"/>
                <w:shd w:val="clear" w:color="auto" w:fill="FFFFFF"/>
              </w:rPr>
              <w:t>慢就是</w:t>
            </w:r>
            <w:proofErr w:type="gramEnd"/>
            <w:r>
              <w:rPr>
                <w:rFonts w:ascii="华文楷体" w:hAnsi="华文楷体" w:cs="Arial" w:hint="eastAsia"/>
                <w:color w:val="333333"/>
                <w:szCs w:val="21"/>
                <w:shd w:val="clear" w:color="auto" w:fill="FFFFFF"/>
              </w:rPr>
              <w:t>快，周期性行业与供给</w:t>
            </w:r>
            <w:proofErr w:type="gramStart"/>
            <w:r>
              <w:rPr>
                <w:rFonts w:ascii="华文楷体" w:hAnsi="华文楷体" w:cs="Arial" w:hint="eastAsia"/>
                <w:color w:val="333333"/>
                <w:szCs w:val="21"/>
                <w:shd w:val="clear" w:color="auto" w:fill="FFFFFF"/>
              </w:rPr>
              <w:t>侧改</w:t>
            </w:r>
            <w:proofErr w:type="gramEnd"/>
            <w:r>
              <w:rPr>
                <w:rFonts w:ascii="华文楷体" w:hAnsi="华文楷体" w:cs="Arial" w:hint="eastAsia"/>
                <w:color w:val="333333"/>
                <w:szCs w:val="21"/>
                <w:shd w:val="clear" w:color="auto" w:fill="FFFFFF"/>
              </w:rPr>
              <w:t>革方向值得配置，其次主要配置优质蓝筹，全年走势核心波动区间2900-3650。</w:t>
            </w:r>
          </w:p>
        </w:tc>
      </w:tr>
    </w:tbl>
    <w:p w:rsidR="00937CC5" w:rsidRDefault="007A54EB">
      <w:pPr>
        <w:pStyle w:val="TOC1"/>
        <w:tabs>
          <w:tab w:val="left" w:pos="3168"/>
          <w:tab w:val="center" w:pos="4153"/>
        </w:tabs>
        <w:spacing w:before="0" w:line="360" w:lineRule="auto"/>
        <w:rPr>
          <w:rFonts w:ascii="华文楷体" w:eastAsia="华文楷体" w:hAnsi="华文楷体" w:cs="华文楷体"/>
        </w:rPr>
      </w:pPr>
      <w:r>
        <w:rPr>
          <w:rFonts w:ascii="Times New Roman" w:hAnsi="Times New Roman"/>
          <w:b/>
          <w:bCs w:val="0"/>
          <w:color w:val="auto"/>
          <w:kern w:val="2"/>
          <w:sz w:val="21"/>
          <w:szCs w:val="20"/>
          <w:lang w:val="zh-CN"/>
        </w:rPr>
        <w:lastRenderedPageBreak/>
        <w:tab/>
      </w:r>
      <w:r>
        <w:rPr>
          <w:rFonts w:ascii="Times New Roman" w:hAnsi="Times New Roman"/>
          <w:b/>
          <w:bCs w:val="0"/>
          <w:color w:val="auto"/>
          <w:kern w:val="2"/>
          <w:sz w:val="21"/>
          <w:szCs w:val="20"/>
          <w:lang w:val="zh-CN"/>
        </w:rPr>
        <w:tab/>
      </w:r>
      <w:r>
        <w:rPr>
          <w:rFonts w:ascii="华文楷体" w:eastAsia="华文楷体" w:hAnsi="华文楷体" w:cs="华文楷体" w:hint="eastAsia"/>
          <w:lang w:val="zh-CN"/>
        </w:rPr>
        <w:t>目录</w:t>
      </w:r>
    </w:p>
    <w:p w:rsidR="00937CC5" w:rsidRDefault="007A54EB">
      <w:pPr>
        <w:pStyle w:val="11"/>
        <w:tabs>
          <w:tab w:val="right" w:leader="dot" w:pos="8296"/>
        </w:tabs>
        <w:rPr>
          <w:rFonts w:ascii="华文楷体" w:eastAsia="华文楷体" w:hAnsi="华文楷体" w:cs="宋体"/>
          <w:szCs w:val="22"/>
        </w:rPr>
      </w:pPr>
      <w:r>
        <w:rPr>
          <w:rFonts w:ascii="华文楷体" w:eastAsia="华文楷体" w:hAnsi="华文楷体" w:cs="华文楷体" w:hint="eastAsia"/>
          <w:szCs w:val="21"/>
        </w:rPr>
        <w:fldChar w:fldCharType="begin"/>
      </w:r>
      <w:r>
        <w:rPr>
          <w:rFonts w:ascii="华文楷体" w:eastAsia="华文楷体" w:hAnsi="华文楷体" w:cs="华文楷体" w:hint="eastAsia"/>
          <w:szCs w:val="21"/>
        </w:rPr>
        <w:instrText xml:space="preserve"> TOC \o "1-3" \h \z \u </w:instrText>
      </w:r>
      <w:r>
        <w:rPr>
          <w:rFonts w:ascii="华文楷体" w:eastAsia="华文楷体" w:hAnsi="华文楷体" w:cs="华文楷体" w:hint="eastAsia"/>
          <w:szCs w:val="21"/>
        </w:rPr>
        <w:fldChar w:fldCharType="separate"/>
      </w:r>
      <w:hyperlink w:anchor="_Toc494020655" w:history="1">
        <w:r>
          <w:rPr>
            <w:rStyle w:val="af0"/>
            <w:rFonts w:ascii="华文楷体" w:eastAsia="华文楷体" w:hAnsi="华文楷体" w:hint="eastAsia"/>
          </w:rPr>
          <w:t>一、一周经济数据</w:t>
        </w:r>
        <w:r>
          <w:rPr>
            <w:rFonts w:ascii="华文楷体" w:eastAsia="华文楷体" w:hAnsi="华文楷体"/>
          </w:rPr>
          <w:tab/>
        </w:r>
        <w:r>
          <w:rPr>
            <w:rFonts w:ascii="华文楷体" w:eastAsia="华文楷体" w:hAnsi="华文楷体"/>
          </w:rPr>
          <w:fldChar w:fldCharType="begin"/>
        </w:r>
        <w:r>
          <w:rPr>
            <w:rFonts w:ascii="华文楷体" w:eastAsia="华文楷体" w:hAnsi="华文楷体"/>
          </w:rPr>
          <w:instrText xml:space="preserve"> PAGEREF _Toc494020655 \h </w:instrText>
        </w:r>
        <w:r>
          <w:rPr>
            <w:rFonts w:ascii="华文楷体" w:eastAsia="华文楷体" w:hAnsi="华文楷体"/>
          </w:rPr>
        </w:r>
        <w:r>
          <w:rPr>
            <w:rFonts w:ascii="华文楷体" w:eastAsia="华文楷体" w:hAnsi="华文楷体"/>
          </w:rPr>
          <w:fldChar w:fldCharType="separate"/>
        </w:r>
        <w:r>
          <w:rPr>
            <w:rFonts w:ascii="华文楷体" w:eastAsia="华文楷体" w:hAnsi="华文楷体"/>
          </w:rPr>
          <w:t>5</w:t>
        </w:r>
        <w:r>
          <w:rPr>
            <w:rFonts w:ascii="华文楷体" w:eastAsia="华文楷体" w:hAnsi="华文楷体"/>
          </w:rPr>
          <w:fldChar w:fldCharType="end"/>
        </w:r>
      </w:hyperlink>
    </w:p>
    <w:p w:rsidR="00937CC5" w:rsidRDefault="006436F4">
      <w:pPr>
        <w:pStyle w:val="11"/>
        <w:tabs>
          <w:tab w:val="right" w:leader="dot" w:pos="8296"/>
        </w:tabs>
        <w:rPr>
          <w:rFonts w:ascii="华文楷体" w:eastAsia="华文楷体" w:hAnsi="华文楷体" w:cs="宋体"/>
          <w:szCs w:val="22"/>
        </w:rPr>
      </w:pPr>
      <w:hyperlink w:anchor="_Toc494020656" w:history="1">
        <w:r w:rsidR="007A54EB">
          <w:rPr>
            <w:rStyle w:val="af0"/>
            <w:rFonts w:ascii="华文楷体" w:eastAsia="华文楷体" w:hAnsi="华文楷体" w:hint="eastAsia"/>
          </w:rPr>
          <w:t>二、一周要闻回顾</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_Toc494020656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6</w:t>
        </w:r>
        <w:r w:rsidR="007A54EB">
          <w:rPr>
            <w:rFonts w:ascii="华文楷体" w:eastAsia="华文楷体" w:hAnsi="华文楷体"/>
          </w:rPr>
          <w:fldChar w:fldCharType="end"/>
        </w:r>
      </w:hyperlink>
    </w:p>
    <w:p w:rsidR="00937CC5" w:rsidRDefault="006436F4">
      <w:pPr>
        <w:pStyle w:val="11"/>
        <w:tabs>
          <w:tab w:val="right" w:leader="dot" w:pos="8296"/>
        </w:tabs>
        <w:rPr>
          <w:rFonts w:ascii="华文楷体" w:eastAsia="华文楷体" w:hAnsi="华文楷体" w:cs="宋体"/>
          <w:szCs w:val="22"/>
        </w:rPr>
      </w:pPr>
      <w:hyperlink w:anchor="_Toc494020657" w:history="1">
        <w:r w:rsidR="007A54EB">
          <w:rPr>
            <w:rStyle w:val="af0"/>
            <w:rFonts w:ascii="华文楷体" w:eastAsia="华文楷体" w:hAnsi="华文楷体" w:hint="eastAsia"/>
          </w:rPr>
          <w:t>三、宏观经济数据分析</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_Toc494020657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6</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58" w:history="1">
        <w:r w:rsidR="007A54EB">
          <w:rPr>
            <w:rStyle w:val="af0"/>
            <w:rFonts w:ascii="华文楷体" w:eastAsia="华文楷体" w:hAnsi="华文楷体"/>
          </w:rPr>
          <w:t>1</w:t>
        </w:r>
        <w:r w:rsidR="007A54EB">
          <w:rPr>
            <w:rStyle w:val="af0"/>
            <w:rFonts w:ascii="华文楷体" w:eastAsia="华文楷体" w:hAnsi="华文楷体" w:hint="eastAsia"/>
          </w:rPr>
          <w:t>、制造业采购经理人指数（</w:t>
        </w:r>
        <w:r w:rsidR="007A54EB">
          <w:rPr>
            <w:rStyle w:val="af0"/>
            <w:rFonts w:ascii="华文楷体" w:eastAsia="华文楷体" w:hAnsi="华文楷体"/>
          </w:rPr>
          <w:t>PMI</w:t>
        </w:r>
        <w:r w:rsidR="007A54EB">
          <w:rPr>
            <w:rStyle w:val="af0"/>
            <w:rFonts w:ascii="华文楷体" w:eastAsia="华文楷体" w:hAnsi="华文楷体" w:hint="eastAsia"/>
          </w:rPr>
          <w:t>）</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_Toc494020658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6</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59" w:history="1">
        <w:r w:rsidR="007A54EB">
          <w:rPr>
            <w:rStyle w:val="af0"/>
            <w:rFonts w:ascii="华文楷体" w:eastAsia="华文楷体" w:hAnsi="华文楷体"/>
          </w:rPr>
          <w:t>2</w:t>
        </w:r>
        <w:r w:rsidR="007A54EB">
          <w:rPr>
            <w:rStyle w:val="af0"/>
            <w:rFonts w:ascii="华文楷体" w:eastAsia="华文楷体" w:hAnsi="华文楷体" w:hint="eastAsia"/>
          </w:rPr>
          <w:t>、全国居民消费价格</w:t>
        </w:r>
        <w:r w:rsidR="007A54EB">
          <w:rPr>
            <w:rStyle w:val="af0"/>
            <w:rFonts w:ascii="华文楷体" w:eastAsia="华文楷体" w:hAnsi="华文楷体"/>
          </w:rPr>
          <w:t>(CPI)</w:t>
        </w:r>
        <w:r w:rsidR="007A54EB">
          <w:rPr>
            <w:rStyle w:val="af0"/>
            <w:rFonts w:ascii="华文楷体" w:eastAsia="华文楷体" w:hAnsi="华文楷体" w:hint="eastAsia"/>
          </w:rPr>
          <w:t>及工业品出厂价格指数（</w:t>
        </w:r>
        <w:r w:rsidR="007A54EB">
          <w:rPr>
            <w:rStyle w:val="af0"/>
            <w:rFonts w:ascii="华文楷体" w:eastAsia="华文楷体" w:hAnsi="华文楷体"/>
          </w:rPr>
          <w:t>PPI</w:t>
        </w:r>
        <w:r w:rsidR="007A54EB">
          <w:rPr>
            <w:rStyle w:val="af0"/>
            <w:rFonts w:ascii="华文楷体" w:eastAsia="华文楷体" w:hAnsi="华文楷体" w:hint="eastAsia"/>
          </w:rPr>
          <w:t>）</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_Toc494020659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8</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0" w:history="1">
        <w:r w:rsidR="007A54EB">
          <w:rPr>
            <w:rStyle w:val="af0"/>
            <w:rFonts w:ascii="华文楷体" w:eastAsia="华文楷体" w:hAnsi="华文楷体"/>
          </w:rPr>
          <w:t>3</w:t>
        </w:r>
        <w:r w:rsidR="007A54EB">
          <w:rPr>
            <w:rStyle w:val="af0"/>
            <w:rFonts w:ascii="华文楷体" w:eastAsia="华文楷体" w:hAnsi="华文楷体" w:hint="eastAsia"/>
          </w:rPr>
          <w:t>、规模以上工业增加值</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_Toc494020660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10</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1" w:history="1">
        <w:r w:rsidR="007A54EB">
          <w:rPr>
            <w:rStyle w:val="af0"/>
            <w:rFonts w:ascii="华文楷体" w:eastAsia="华文楷体" w:hAnsi="华文楷体" w:hint="eastAsia"/>
          </w:rPr>
          <w:t>4、 固定资产投资完成额</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_Toc494020661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11</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2" w:history="1">
        <w:r w:rsidR="007A54EB">
          <w:rPr>
            <w:rStyle w:val="af0"/>
            <w:rFonts w:ascii="华文楷体" w:eastAsia="华文楷体" w:hAnsi="华文楷体"/>
          </w:rPr>
          <w:t>5</w:t>
        </w:r>
        <w:r w:rsidR="007A54EB">
          <w:rPr>
            <w:rStyle w:val="af0"/>
            <w:rFonts w:ascii="华文楷体" w:eastAsia="华文楷体" w:hAnsi="华文楷体" w:hint="eastAsia"/>
          </w:rPr>
          <w:t>、房地产开发与销售</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_Toc494020662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12</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3" w:history="1">
        <w:r w:rsidR="007A54EB">
          <w:rPr>
            <w:rStyle w:val="af0"/>
            <w:rFonts w:ascii="华文楷体" w:eastAsia="华文楷体" w:hAnsi="华文楷体"/>
          </w:rPr>
          <w:t>6</w:t>
        </w:r>
        <w:r w:rsidR="007A54EB">
          <w:rPr>
            <w:rStyle w:val="af0"/>
            <w:rFonts w:ascii="华文楷体" w:eastAsia="华文楷体" w:hAnsi="华文楷体" w:hint="eastAsia"/>
          </w:rPr>
          <w:t>、社会消费品零售总额</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_Toc494020663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13</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4" w:history="1">
        <w:r w:rsidR="007A54EB">
          <w:rPr>
            <w:rStyle w:val="af0"/>
            <w:rFonts w:ascii="华文楷体" w:eastAsia="华文楷体" w:hAnsi="华文楷体"/>
          </w:rPr>
          <w:t>7</w:t>
        </w:r>
        <w:r w:rsidR="007A54EB">
          <w:rPr>
            <w:rStyle w:val="af0"/>
            <w:rFonts w:ascii="华文楷体" w:eastAsia="华文楷体" w:hAnsi="华文楷体" w:hint="eastAsia"/>
          </w:rPr>
          <w:t>、进出口与外贸收支</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_Toc494020664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13</w:t>
        </w:r>
        <w:r w:rsidR="007A54EB">
          <w:rPr>
            <w:rFonts w:ascii="华文楷体" w:eastAsia="华文楷体" w:hAnsi="华文楷体"/>
          </w:rPr>
          <w:fldChar w:fldCharType="end"/>
        </w:r>
      </w:hyperlink>
    </w:p>
    <w:p w:rsidR="00937CC5" w:rsidRDefault="006436F4">
      <w:pPr>
        <w:pStyle w:val="11"/>
        <w:tabs>
          <w:tab w:val="right" w:leader="dot" w:pos="8296"/>
        </w:tabs>
        <w:rPr>
          <w:rFonts w:ascii="华文楷体" w:eastAsia="华文楷体" w:hAnsi="华文楷体" w:cs="宋体"/>
          <w:szCs w:val="22"/>
        </w:rPr>
      </w:pPr>
      <w:hyperlink w:anchor="_Toc494020665" w:history="1">
        <w:r w:rsidR="007A54EB">
          <w:rPr>
            <w:rStyle w:val="af0"/>
            <w:rFonts w:ascii="华文楷体" w:eastAsia="华文楷体" w:hAnsi="华文楷体" w:hint="eastAsia"/>
          </w:rPr>
          <w:t>四、股指期货</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_Toc494020665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14</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6" w:history="1">
        <w:r w:rsidR="007A54EB">
          <w:rPr>
            <w:rStyle w:val="af0"/>
            <w:rFonts w:ascii="华文楷体" w:eastAsia="华文楷体" w:hAnsi="华文楷体"/>
          </w:rPr>
          <w:t>1</w:t>
        </w:r>
        <w:r w:rsidR="007A54EB">
          <w:rPr>
            <w:rStyle w:val="af0"/>
            <w:rFonts w:ascii="华文楷体" w:eastAsia="华文楷体" w:hAnsi="华文楷体" w:hint="eastAsia"/>
          </w:rPr>
          <w:t>、三大期指情况</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_Toc494020666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14</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7" w:history="1">
        <w:r w:rsidR="007A54EB">
          <w:rPr>
            <w:rStyle w:val="af0"/>
            <w:rFonts w:ascii="华文楷体" w:eastAsia="华文楷体" w:hAnsi="华文楷体"/>
          </w:rPr>
          <w:t>2</w:t>
        </w:r>
        <w:r w:rsidR="007A54EB">
          <w:rPr>
            <w:rStyle w:val="af0"/>
            <w:rFonts w:ascii="华文楷体" w:eastAsia="华文楷体" w:hAnsi="华文楷体" w:hint="eastAsia"/>
          </w:rPr>
          <w:t>、股指情况</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_Toc494020667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15</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68" w:history="1">
        <w:r w:rsidR="007A54EB">
          <w:rPr>
            <w:rStyle w:val="af0"/>
            <w:rFonts w:ascii="华文楷体" w:eastAsia="华文楷体" w:hAnsi="华文楷体"/>
          </w:rPr>
          <w:t>3</w:t>
        </w:r>
        <w:r w:rsidR="007A54EB">
          <w:rPr>
            <w:rStyle w:val="af0"/>
            <w:rFonts w:ascii="华文楷体" w:eastAsia="华文楷体" w:hAnsi="华文楷体" w:hint="eastAsia"/>
          </w:rPr>
          <w:t>、资金流向情况</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_Toc494020668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15</w:t>
        </w:r>
        <w:r w:rsidR="007A54EB">
          <w:rPr>
            <w:rFonts w:ascii="华文楷体" w:eastAsia="华文楷体" w:hAnsi="华文楷体"/>
          </w:rPr>
          <w:fldChar w:fldCharType="end"/>
        </w:r>
      </w:hyperlink>
    </w:p>
    <w:p w:rsidR="00937CC5" w:rsidRDefault="006436F4">
      <w:pPr>
        <w:pStyle w:val="30"/>
        <w:rPr>
          <w:rFonts w:ascii="华文楷体" w:eastAsia="华文楷体" w:hAnsi="华文楷体" w:cs="宋体"/>
          <w:szCs w:val="22"/>
        </w:rPr>
      </w:pPr>
      <w:hyperlink w:anchor="_Toc494020669" w:history="1">
        <w:r w:rsidR="007A54EB">
          <w:rPr>
            <w:rStyle w:val="af0"/>
            <w:rFonts w:ascii="华文楷体" w:eastAsia="华文楷体" w:hAnsi="华文楷体"/>
          </w:rPr>
          <w:t>3.1</w:t>
        </w:r>
        <w:r w:rsidR="007A54EB">
          <w:rPr>
            <w:rStyle w:val="af0"/>
            <w:rFonts w:ascii="华文楷体" w:eastAsia="华文楷体" w:hAnsi="华文楷体" w:hint="eastAsia"/>
          </w:rPr>
          <w:t>证券市场资金流向</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_Toc494020669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15</w:t>
        </w:r>
        <w:r w:rsidR="007A54EB">
          <w:rPr>
            <w:rFonts w:ascii="华文楷体" w:eastAsia="华文楷体" w:hAnsi="华文楷体"/>
          </w:rPr>
          <w:fldChar w:fldCharType="end"/>
        </w:r>
      </w:hyperlink>
    </w:p>
    <w:p w:rsidR="00937CC5" w:rsidRDefault="006436F4">
      <w:pPr>
        <w:pStyle w:val="30"/>
        <w:rPr>
          <w:rFonts w:ascii="华文楷体" w:eastAsia="华文楷体" w:hAnsi="华文楷体" w:cs="宋体"/>
          <w:szCs w:val="22"/>
        </w:rPr>
      </w:pPr>
      <w:hyperlink w:anchor="_Toc494020670" w:history="1">
        <w:r w:rsidR="007A54EB">
          <w:rPr>
            <w:rStyle w:val="af0"/>
            <w:rFonts w:ascii="华文楷体" w:eastAsia="华文楷体" w:hAnsi="华文楷体"/>
          </w:rPr>
          <w:t xml:space="preserve">3.3 </w:t>
        </w:r>
        <w:r w:rsidR="007A54EB">
          <w:rPr>
            <w:rStyle w:val="af0"/>
            <w:rFonts w:ascii="华文楷体" w:eastAsia="华文楷体" w:hAnsi="华文楷体" w:hint="eastAsia"/>
          </w:rPr>
          <w:t>沪港通资金流向</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_Toc494020670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15</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71" w:history="1">
        <w:r w:rsidR="007A54EB">
          <w:rPr>
            <w:rStyle w:val="af0"/>
            <w:rFonts w:ascii="华文楷体" w:eastAsia="华文楷体" w:hAnsi="华文楷体"/>
          </w:rPr>
          <w:t>4</w:t>
        </w:r>
        <w:r w:rsidR="007A54EB">
          <w:rPr>
            <w:rStyle w:val="af0"/>
            <w:rFonts w:ascii="华文楷体" w:eastAsia="华文楷体" w:hAnsi="华文楷体" w:hint="eastAsia"/>
          </w:rPr>
          <w:t>、资金流动性</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_Toc494020671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16</w:t>
        </w:r>
        <w:r w:rsidR="007A54EB">
          <w:rPr>
            <w:rFonts w:ascii="华文楷体" w:eastAsia="华文楷体" w:hAnsi="华文楷体"/>
          </w:rPr>
          <w:fldChar w:fldCharType="end"/>
        </w:r>
      </w:hyperlink>
    </w:p>
    <w:p w:rsidR="00937CC5" w:rsidRDefault="006436F4">
      <w:pPr>
        <w:pStyle w:val="30"/>
        <w:rPr>
          <w:rFonts w:ascii="华文楷体" w:eastAsia="华文楷体" w:hAnsi="华文楷体" w:cs="宋体"/>
          <w:szCs w:val="22"/>
        </w:rPr>
      </w:pPr>
      <w:hyperlink w:anchor="_Toc494020672" w:history="1">
        <w:r w:rsidR="007A54EB">
          <w:rPr>
            <w:rStyle w:val="af0"/>
            <w:rFonts w:ascii="华文楷体" w:eastAsia="华文楷体" w:hAnsi="华文楷体"/>
          </w:rPr>
          <w:t>4.1</w:t>
        </w:r>
        <w:r w:rsidR="007A54EB">
          <w:rPr>
            <w:rStyle w:val="af0"/>
            <w:rFonts w:ascii="华文楷体" w:eastAsia="华文楷体" w:hAnsi="华文楷体" w:hint="eastAsia"/>
          </w:rPr>
          <w:t>公开市场操作</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_Toc494020672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16</w:t>
        </w:r>
        <w:r w:rsidR="007A54EB">
          <w:rPr>
            <w:rFonts w:ascii="华文楷体" w:eastAsia="华文楷体" w:hAnsi="华文楷体"/>
          </w:rPr>
          <w:fldChar w:fldCharType="end"/>
        </w:r>
      </w:hyperlink>
    </w:p>
    <w:p w:rsidR="00937CC5" w:rsidRDefault="006436F4">
      <w:pPr>
        <w:pStyle w:val="30"/>
        <w:rPr>
          <w:rFonts w:ascii="华文楷体" w:eastAsia="华文楷体" w:hAnsi="华文楷体" w:cs="宋体"/>
          <w:szCs w:val="22"/>
        </w:rPr>
      </w:pPr>
      <w:hyperlink w:anchor="_Toc494020673" w:history="1">
        <w:r w:rsidR="007A54EB">
          <w:rPr>
            <w:rStyle w:val="af0"/>
            <w:rFonts w:ascii="华文楷体" w:eastAsia="华文楷体" w:hAnsi="华文楷体"/>
          </w:rPr>
          <w:t xml:space="preserve">4.2 </w:t>
        </w:r>
        <w:r w:rsidR="007A54EB">
          <w:rPr>
            <w:rStyle w:val="af0"/>
            <w:rFonts w:ascii="华文楷体" w:eastAsia="华文楷体" w:hAnsi="华文楷体" w:hint="eastAsia"/>
          </w:rPr>
          <w:t>上海银行间拆借利率（</w:t>
        </w:r>
        <w:r w:rsidR="007A54EB">
          <w:rPr>
            <w:rStyle w:val="af0"/>
            <w:rFonts w:ascii="华文楷体" w:eastAsia="华文楷体" w:hAnsi="华文楷体"/>
          </w:rPr>
          <w:t>Shibor</w:t>
        </w:r>
        <w:r w:rsidR="007A54EB">
          <w:rPr>
            <w:rStyle w:val="af0"/>
            <w:rFonts w:ascii="华文楷体" w:eastAsia="华文楷体" w:hAnsi="华文楷体" w:hint="eastAsia"/>
          </w:rPr>
          <w:t>）</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_Toc494020673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16</w:t>
        </w:r>
        <w:r w:rsidR="007A54EB">
          <w:rPr>
            <w:rFonts w:ascii="华文楷体" w:eastAsia="华文楷体" w:hAnsi="华文楷体"/>
          </w:rPr>
          <w:fldChar w:fldCharType="end"/>
        </w:r>
      </w:hyperlink>
    </w:p>
    <w:p w:rsidR="00937CC5" w:rsidRDefault="006436F4">
      <w:pPr>
        <w:pStyle w:val="30"/>
        <w:rPr>
          <w:rFonts w:ascii="华文楷体" w:eastAsia="华文楷体" w:hAnsi="华文楷体" w:cs="宋体"/>
          <w:szCs w:val="22"/>
        </w:rPr>
      </w:pPr>
      <w:hyperlink w:anchor="_Toc494020674" w:history="1">
        <w:r w:rsidR="007A54EB">
          <w:rPr>
            <w:rStyle w:val="af0"/>
            <w:rFonts w:ascii="华文楷体" w:eastAsia="华文楷体" w:hAnsi="华文楷体"/>
          </w:rPr>
          <w:t xml:space="preserve">4.3 </w:t>
        </w:r>
        <w:r w:rsidR="007A54EB">
          <w:rPr>
            <w:rStyle w:val="af0"/>
            <w:rFonts w:ascii="华文楷体" w:eastAsia="华文楷体" w:hAnsi="华文楷体" w:hint="eastAsia"/>
          </w:rPr>
          <w:t>融资融券余额</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_Toc494020674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16</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75" w:history="1">
        <w:r w:rsidR="007A54EB">
          <w:rPr>
            <w:rStyle w:val="af0"/>
            <w:rFonts w:ascii="华文楷体" w:eastAsia="华文楷体" w:hAnsi="华文楷体"/>
          </w:rPr>
          <w:t>5</w:t>
        </w:r>
        <w:r w:rsidR="007A54EB">
          <w:rPr>
            <w:rStyle w:val="af0"/>
            <w:rFonts w:ascii="华文楷体" w:eastAsia="华文楷体" w:hAnsi="华文楷体" w:hint="eastAsia"/>
          </w:rPr>
          <w:t>、证券发行与限售股解禁</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_Toc494020675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17</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76" w:history="1">
        <w:r w:rsidR="007A54EB">
          <w:rPr>
            <w:rStyle w:val="af0"/>
            <w:rFonts w:ascii="华文楷体" w:eastAsia="华文楷体" w:hAnsi="华文楷体"/>
          </w:rPr>
          <w:t>6</w:t>
        </w:r>
        <w:r w:rsidR="007A54EB">
          <w:rPr>
            <w:rStyle w:val="af0"/>
            <w:rFonts w:ascii="华文楷体" w:eastAsia="华文楷体" w:hAnsi="华文楷体" w:hint="eastAsia"/>
          </w:rPr>
          <w:t>、一周申万</w:t>
        </w:r>
        <w:r w:rsidR="007A54EB">
          <w:rPr>
            <w:rStyle w:val="af0"/>
            <w:rFonts w:ascii="华文楷体" w:eastAsia="华文楷体" w:hAnsi="华文楷体"/>
          </w:rPr>
          <w:t>28</w:t>
        </w:r>
        <w:r w:rsidR="007A54EB">
          <w:rPr>
            <w:rStyle w:val="af0"/>
            <w:rFonts w:ascii="华文楷体" w:eastAsia="华文楷体" w:hAnsi="华文楷体" w:hint="eastAsia"/>
          </w:rPr>
          <w:t>行业情况</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_Toc494020676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18</w:t>
        </w:r>
        <w:r w:rsidR="007A54EB">
          <w:rPr>
            <w:rFonts w:ascii="华文楷体" w:eastAsia="华文楷体" w:hAnsi="华文楷体"/>
          </w:rPr>
          <w:fldChar w:fldCharType="end"/>
        </w:r>
      </w:hyperlink>
    </w:p>
    <w:p w:rsidR="00937CC5" w:rsidRDefault="006436F4">
      <w:pPr>
        <w:pStyle w:val="21"/>
        <w:tabs>
          <w:tab w:val="right" w:leader="dot" w:pos="8296"/>
        </w:tabs>
        <w:rPr>
          <w:rFonts w:ascii="华文楷体" w:eastAsia="华文楷体" w:hAnsi="华文楷体" w:cs="宋体"/>
          <w:szCs w:val="22"/>
        </w:rPr>
      </w:pPr>
      <w:hyperlink w:anchor="_Toc494020677" w:history="1">
        <w:r w:rsidR="007A54EB">
          <w:rPr>
            <w:rStyle w:val="af0"/>
            <w:rFonts w:ascii="华文楷体" w:eastAsia="华文楷体" w:hAnsi="华文楷体"/>
          </w:rPr>
          <w:t>7</w:t>
        </w:r>
        <w:r w:rsidR="007A54EB">
          <w:rPr>
            <w:rStyle w:val="af0"/>
            <w:rFonts w:ascii="华文楷体" w:eastAsia="华文楷体" w:hAnsi="华文楷体" w:hint="eastAsia"/>
          </w:rPr>
          <w:t>、股指与其他主要商品指数比较</w:t>
        </w:r>
        <w:r w:rsidR="007A54EB">
          <w:rPr>
            <w:rFonts w:ascii="华文楷体" w:eastAsia="华文楷体" w:hAnsi="华文楷体"/>
          </w:rPr>
          <w:tab/>
        </w:r>
        <w:r w:rsidR="007A54EB">
          <w:rPr>
            <w:rFonts w:ascii="华文楷体" w:eastAsia="华文楷体" w:hAnsi="华文楷体"/>
          </w:rPr>
          <w:fldChar w:fldCharType="begin"/>
        </w:r>
        <w:r w:rsidR="007A54EB">
          <w:rPr>
            <w:rFonts w:ascii="华文楷体" w:eastAsia="华文楷体" w:hAnsi="华文楷体"/>
          </w:rPr>
          <w:instrText xml:space="preserve"> PAGEREF _Toc494020677 \h </w:instrText>
        </w:r>
        <w:r w:rsidR="007A54EB">
          <w:rPr>
            <w:rFonts w:ascii="华文楷体" w:eastAsia="华文楷体" w:hAnsi="华文楷体"/>
          </w:rPr>
        </w:r>
        <w:r w:rsidR="007A54EB">
          <w:rPr>
            <w:rFonts w:ascii="华文楷体" w:eastAsia="华文楷体" w:hAnsi="华文楷体"/>
          </w:rPr>
          <w:fldChar w:fldCharType="separate"/>
        </w:r>
        <w:r w:rsidR="007A54EB">
          <w:rPr>
            <w:rFonts w:ascii="华文楷体" w:eastAsia="华文楷体" w:hAnsi="华文楷体"/>
          </w:rPr>
          <w:t>19</w:t>
        </w:r>
        <w:r w:rsidR="007A54EB">
          <w:rPr>
            <w:rFonts w:ascii="华文楷体" w:eastAsia="华文楷体" w:hAnsi="华文楷体"/>
          </w:rPr>
          <w:fldChar w:fldCharType="end"/>
        </w:r>
      </w:hyperlink>
    </w:p>
    <w:p w:rsidR="00937CC5" w:rsidRDefault="007A54EB">
      <w:pPr>
        <w:rPr>
          <w:rFonts w:ascii="华文楷体" w:hAnsi="华文楷体"/>
          <w:b/>
          <w:bCs/>
          <w:lang w:val="zh-CN"/>
        </w:rPr>
      </w:pPr>
      <w:r>
        <w:rPr>
          <w:rFonts w:ascii="华文楷体" w:hAnsi="华文楷体" w:cs="华文楷体" w:hint="eastAsia"/>
          <w:b/>
          <w:bCs/>
          <w:szCs w:val="21"/>
          <w:lang w:val="zh-CN"/>
        </w:rPr>
        <w:fldChar w:fldCharType="end"/>
      </w:r>
    </w:p>
    <w:p w:rsidR="00937CC5" w:rsidRDefault="00937CC5">
      <w:pPr>
        <w:pStyle w:val="1"/>
        <w:spacing w:line="240" w:lineRule="auto"/>
        <w:rPr>
          <w:rFonts w:ascii="华文楷体" w:eastAsia="华文楷体" w:hAnsi="华文楷体" w:cs="华文楷体"/>
          <w:b/>
          <w:sz w:val="21"/>
          <w:szCs w:val="21"/>
        </w:rPr>
      </w:pPr>
    </w:p>
    <w:p w:rsidR="00937CC5" w:rsidRDefault="007A54EB">
      <w:pPr>
        <w:widowControl/>
        <w:jc w:val="left"/>
        <w:rPr>
          <w:rFonts w:ascii="华文楷体" w:hAnsi="华文楷体" w:cs="华文楷体"/>
          <w:kern w:val="44"/>
          <w:szCs w:val="21"/>
        </w:rPr>
      </w:pPr>
      <w:r>
        <w:rPr>
          <w:rFonts w:ascii="华文楷体" w:hAnsi="华文楷体" w:cs="华文楷体"/>
          <w:szCs w:val="21"/>
        </w:rPr>
        <w:br w:type="page"/>
      </w:r>
    </w:p>
    <w:p w:rsidR="00937CC5" w:rsidRDefault="007A54EB">
      <w:pPr>
        <w:pStyle w:val="1"/>
      </w:pPr>
      <w:bookmarkStart w:id="0" w:name="_Toc494020655"/>
      <w:r>
        <w:rPr>
          <w:rFonts w:hint="eastAsia"/>
        </w:rPr>
        <w:lastRenderedPageBreak/>
        <w:t>一、一周经济数据</w:t>
      </w:r>
      <w:bookmarkEnd w:id="0"/>
    </w:p>
    <w:p w:rsidR="00937CC5" w:rsidRDefault="007A54EB">
      <w:pPr>
        <w:pStyle w:val="a3"/>
        <w:spacing w:afterLines="100" w:after="312"/>
      </w:pPr>
      <w:bookmarkStart w:id="1" w:name="_Toc450560263"/>
      <w:bookmarkStart w:id="2" w:name="_Toc492279095"/>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w:t>
      </w:r>
      <w:r>
        <w:rPr>
          <w:rFonts w:ascii="宋体" w:eastAsia="宋体" w:hAnsi="宋体"/>
          <w:b/>
          <w:sz w:val="21"/>
          <w:szCs w:val="21"/>
        </w:rPr>
        <w:fldChar w:fldCharType="end"/>
      </w:r>
      <w:r>
        <w:rPr>
          <w:rFonts w:ascii="宋体" w:eastAsia="宋体" w:hAnsi="宋体" w:hint="eastAsia"/>
          <w:b/>
          <w:sz w:val="21"/>
          <w:szCs w:val="21"/>
        </w:rPr>
        <w:t>：一周经济数据</w:t>
      </w:r>
      <w:bookmarkEnd w:id="1"/>
      <w:bookmarkEnd w:id="2"/>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393"/>
      </w:tblGrid>
      <w:tr w:rsidR="00937CC5">
        <w:trPr>
          <w:trHeight w:val="284"/>
        </w:trPr>
        <w:tc>
          <w:tcPr>
            <w:tcW w:w="1135" w:type="dxa"/>
            <w:shd w:val="clear" w:color="auto" w:fill="ED7D31"/>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数据</w:t>
            </w:r>
          </w:p>
        </w:tc>
        <w:tc>
          <w:tcPr>
            <w:tcW w:w="7393" w:type="dxa"/>
            <w:shd w:val="clear" w:color="auto" w:fill="ED7D31"/>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评析</w:t>
            </w:r>
          </w:p>
        </w:tc>
      </w:tr>
      <w:tr w:rsidR="00937CC5" w:rsidTr="00106510">
        <w:trPr>
          <w:trHeight w:val="1068"/>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CPI</w:t>
            </w:r>
            <w:r>
              <w:rPr>
                <w:rFonts w:ascii="宋体" w:hAnsi="宋体" w:hint="eastAsia"/>
                <w:b/>
                <w:sz w:val="18"/>
                <w:szCs w:val="18"/>
              </w:rPr>
              <w:t>、</w:t>
            </w:r>
            <w:r>
              <w:rPr>
                <w:rFonts w:ascii="宋体" w:hAnsi="宋体" w:hint="eastAsia"/>
                <w:b/>
                <w:sz w:val="18"/>
                <w:szCs w:val="18"/>
              </w:rPr>
              <w:t>PPI</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宋体" w:hint="eastAsia"/>
                <w:sz w:val="18"/>
                <w:szCs w:val="18"/>
              </w:rPr>
              <w:t>国家统计局发布的数据显示，</w:t>
            </w:r>
            <w:r>
              <w:rPr>
                <w:rFonts w:ascii="宋体" w:hAnsi="宋体" w:cs="宋体" w:hint="eastAsia"/>
                <w:sz w:val="18"/>
                <w:szCs w:val="18"/>
              </w:rPr>
              <w:t>8</w:t>
            </w:r>
            <w:r>
              <w:rPr>
                <w:rFonts w:ascii="宋体" w:hAnsi="宋体" w:cs="宋体" w:hint="eastAsia"/>
                <w:sz w:val="18"/>
                <w:szCs w:val="18"/>
              </w:rPr>
              <w:t>月份全国居民消费价格</w:t>
            </w:r>
            <w:r>
              <w:rPr>
                <w:rFonts w:ascii="宋体" w:hAnsi="宋体" w:cs="宋体" w:hint="eastAsia"/>
                <w:sz w:val="18"/>
                <w:szCs w:val="18"/>
              </w:rPr>
              <w:t>(CPI)</w:t>
            </w:r>
            <w:r>
              <w:rPr>
                <w:rFonts w:ascii="宋体" w:hAnsi="宋体" w:cs="宋体" w:hint="eastAsia"/>
                <w:sz w:val="18"/>
                <w:szCs w:val="18"/>
              </w:rPr>
              <w:t>同比上涨</w:t>
            </w:r>
            <w:r>
              <w:rPr>
                <w:rFonts w:ascii="宋体" w:hAnsi="宋体" w:cs="宋体" w:hint="eastAsia"/>
                <w:sz w:val="18"/>
                <w:szCs w:val="18"/>
              </w:rPr>
              <w:t>1.8%</w:t>
            </w:r>
            <w:r>
              <w:rPr>
                <w:rFonts w:ascii="宋体" w:hAnsi="宋体" w:cs="宋体" w:hint="eastAsia"/>
                <w:sz w:val="18"/>
                <w:szCs w:val="18"/>
              </w:rPr>
              <w:t>，环比则上涨</w:t>
            </w:r>
            <w:r>
              <w:rPr>
                <w:rFonts w:ascii="宋体" w:hAnsi="宋体" w:cs="宋体" w:hint="eastAsia"/>
                <w:sz w:val="18"/>
                <w:szCs w:val="18"/>
              </w:rPr>
              <w:t>0.4%</w:t>
            </w:r>
            <w:r>
              <w:rPr>
                <w:rFonts w:ascii="宋体" w:hAnsi="宋体" w:cs="宋体" w:hint="eastAsia"/>
                <w:sz w:val="18"/>
                <w:szCs w:val="18"/>
              </w:rPr>
              <w:t>；工业生产者出厂价格</w:t>
            </w:r>
            <w:r>
              <w:rPr>
                <w:rFonts w:ascii="宋体" w:hAnsi="宋体" w:cs="宋体" w:hint="eastAsia"/>
                <w:sz w:val="18"/>
                <w:szCs w:val="18"/>
              </w:rPr>
              <w:t>(PPI)</w:t>
            </w:r>
            <w:r>
              <w:rPr>
                <w:rFonts w:ascii="宋体" w:hAnsi="宋体" w:cs="宋体" w:hint="eastAsia"/>
                <w:sz w:val="18"/>
                <w:szCs w:val="18"/>
              </w:rPr>
              <w:t>同比上涨</w:t>
            </w:r>
            <w:r>
              <w:rPr>
                <w:rFonts w:ascii="宋体" w:hAnsi="宋体" w:cs="宋体" w:hint="eastAsia"/>
                <w:sz w:val="18"/>
                <w:szCs w:val="18"/>
              </w:rPr>
              <w:t>6.3%</w:t>
            </w:r>
            <w:r>
              <w:rPr>
                <w:rFonts w:ascii="宋体" w:hAnsi="宋体" w:cs="宋体" w:hint="eastAsia"/>
                <w:sz w:val="18"/>
                <w:szCs w:val="18"/>
              </w:rPr>
              <w:t>，环比上升</w:t>
            </w:r>
            <w:r>
              <w:rPr>
                <w:rFonts w:ascii="宋体" w:hAnsi="宋体" w:cs="宋体" w:hint="eastAsia"/>
                <w:sz w:val="18"/>
                <w:szCs w:val="18"/>
              </w:rPr>
              <w:t>0.9%</w:t>
            </w:r>
            <w:r>
              <w:rPr>
                <w:rFonts w:ascii="宋体" w:hAnsi="宋体" w:cs="宋体" w:hint="eastAsia"/>
                <w:sz w:val="18"/>
                <w:szCs w:val="18"/>
              </w:rPr>
              <w:t>，国内物价水平维持平稳。今年上半年，全国居民消费价格总水平比去年同期上涨</w:t>
            </w:r>
            <w:r>
              <w:rPr>
                <w:rFonts w:ascii="宋体" w:hAnsi="宋体" w:cs="宋体" w:hint="eastAsia"/>
                <w:sz w:val="18"/>
                <w:szCs w:val="18"/>
              </w:rPr>
              <w:t>1.4%</w:t>
            </w:r>
            <w:r>
              <w:rPr>
                <w:rFonts w:ascii="宋体" w:hAnsi="宋体" w:cs="宋体" w:hint="eastAsia"/>
                <w:sz w:val="18"/>
                <w:szCs w:val="18"/>
              </w:rPr>
              <w:t>。</w:t>
            </w:r>
          </w:p>
        </w:tc>
      </w:tr>
      <w:tr w:rsidR="00937CC5" w:rsidTr="00106510">
        <w:trPr>
          <w:trHeight w:val="1044"/>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PMI</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Arial" w:hint="eastAsia"/>
                <w:color w:val="333333"/>
                <w:sz w:val="18"/>
                <w:szCs w:val="18"/>
                <w:shd w:val="clear" w:color="auto" w:fill="FFFFFF"/>
              </w:rPr>
              <w:t xml:space="preserve">　</w:t>
            </w:r>
            <w:r>
              <w:rPr>
                <w:rFonts w:ascii="宋体" w:hAnsi="宋体" w:cs="Arial"/>
                <w:color w:val="333333"/>
                <w:sz w:val="18"/>
                <w:szCs w:val="18"/>
                <w:shd w:val="clear" w:color="auto" w:fill="FFFFFF"/>
              </w:rPr>
              <w:t>2017</w:t>
            </w:r>
            <w:r>
              <w:rPr>
                <w:rFonts w:ascii="宋体" w:hAnsi="宋体" w:cs="Arial" w:hint="eastAsia"/>
                <w:color w:val="333333"/>
                <w:sz w:val="18"/>
                <w:szCs w:val="18"/>
                <w:shd w:val="clear" w:color="auto" w:fill="FFFFFF"/>
              </w:rPr>
              <w:t>年</w:t>
            </w:r>
            <w:r>
              <w:rPr>
                <w:rFonts w:ascii="宋体" w:hAnsi="宋体" w:cs="Arial"/>
                <w:color w:val="333333"/>
                <w:sz w:val="18"/>
                <w:szCs w:val="18"/>
                <w:shd w:val="clear" w:color="auto" w:fill="FFFFFF"/>
              </w:rPr>
              <w:t>9</w:t>
            </w:r>
            <w:r>
              <w:rPr>
                <w:rFonts w:ascii="宋体" w:hAnsi="宋体" w:cs="Arial" w:hint="eastAsia"/>
                <w:color w:val="333333"/>
                <w:sz w:val="18"/>
                <w:szCs w:val="18"/>
                <w:shd w:val="clear" w:color="auto" w:fill="FFFFFF"/>
              </w:rPr>
              <w:t>月份，中国制造业采购经理指数（</w:t>
            </w:r>
            <w:r>
              <w:rPr>
                <w:rFonts w:ascii="宋体" w:hAnsi="宋体" w:cs="Arial"/>
                <w:color w:val="333333"/>
                <w:sz w:val="18"/>
                <w:szCs w:val="18"/>
                <w:shd w:val="clear" w:color="auto" w:fill="FFFFFF"/>
              </w:rPr>
              <w:t>PMI</w:t>
            </w:r>
            <w:r>
              <w:rPr>
                <w:rFonts w:ascii="宋体" w:hAnsi="宋体" w:cs="Arial" w:hint="eastAsia"/>
                <w:color w:val="333333"/>
                <w:sz w:val="18"/>
                <w:szCs w:val="18"/>
                <w:shd w:val="clear" w:color="auto" w:fill="FFFFFF"/>
              </w:rPr>
              <w:t>）为</w:t>
            </w:r>
            <w:r>
              <w:rPr>
                <w:rFonts w:ascii="宋体" w:hAnsi="宋体" w:cs="Arial"/>
                <w:color w:val="333333"/>
                <w:sz w:val="18"/>
                <w:szCs w:val="18"/>
                <w:shd w:val="clear" w:color="auto" w:fill="FFFFFF"/>
              </w:rPr>
              <w:t>52.4%</w:t>
            </w:r>
            <w:r>
              <w:rPr>
                <w:rFonts w:ascii="宋体" w:hAnsi="宋体" w:cs="Arial" w:hint="eastAsia"/>
                <w:color w:val="333333"/>
                <w:sz w:val="18"/>
                <w:szCs w:val="18"/>
                <w:shd w:val="clear" w:color="auto" w:fill="FFFFFF"/>
              </w:rPr>
              <w:t>，比上月上升</w:t>
            </w:r>
            <w:r>
              <w:rPr>
                <w:rFonts w:ascii="宋体" w:hAnsi="宋体" w:cs="Arial"/>
                <w:color w:val="333333"/>
                <w:sz w:val="18"/>
                <w:szCs w:val="18"/>
                <w:shd w:val="clear" w:color="auto" w:fill="FFFFFF"/>
              </w:rPr>
              <w:t>0.7</w:t>
            </w:r>
            <w:r>
              <w:rPr>
                <w:rFonts w:ascii="宋体" w:hAnsi="宋体" w:cs="Arial" w:hint="eastAsia"/>
                <w:color w:val="333333"/>
                <w:sz w:val="18"/>
                <w:szCs w:val="18"/>
                <w:shd w:val="clear" w:color="auto" w:fill="FFFFFF"/>
              </w:rPr>
              <w:t>个百分点，制造业继续保持稳中向好的发展态势，扩张步伐有所加快。非制造业商务活动指数为</w:t>
            </w:r>
            <w:r>
              <w:rPr>
                <w:rFonts w:ascii="宋体" w:hAnsi="宋体" w:cs="Arial" w:hint="eastAsia"/>
                <w:color w:val="333333"/>
                <w:sz w:val="18"/>
                <w:szCs w:val="18"/>
                <w:shd w:val="clear" w:color="auto" w:fill="FFFFFF"/>
              </w:rPr>
              <w:t>55.4%</w:t>
            </w:r>
            <w:r>
              <w:rPr>
                <w:rFonts w:ascii="宋体" w:hAnsi="宋体" w:cs="Arial" w:hint="eastAsia"/>
                <w:color w:val="333333"/>
                <w:sz w:val="18"/>
                <w:szCs w:val="18"/>
                <w:shd w:val="clear" w:color="auto" w:fill="FFFFFF"/>
              </w:rPr>
              <w:t>，比上月上升</w:t>
            </w:r>
            <w:r>
              <w:rPr>
                <w:rFonts w:ascii="宋体" w:hAnsi="宋体" w:cs="Arial" w:hint="eastAsia"/>
                <w:color w:val="333333"/>
                <w:sz w:val="18"/>
                <w:szCs w:val="18"/>
                <w:shd w:val="clear" w:color="auto" w:fill="FFFFFF"/>
              </w:rPr>
              <w:t>2.0</w:t>
            </w:r>
            <w:r>
              <w:rPr>
                <w:rFonts w:ascii="宋体" w:hAnsi="宋体" w:cs="Arial" w:hint="eastAsia"/>
                <w:color w:val="333333"/>
                <w:sz w:val="18"/>
                <w:szCs w:val="18"/>
                <w:shd w:val="clear" w:color="auto" w:fill="FFFFFF"/>
              </w:rPr>
              <w:t>个百分点，非制造业继续保持增长，增速有所加快。</w:t>
            </w:r>
          </w:p>
        </w:tc>
      </w:tr>
      <w:tr w:rsidR="00937CC5" w:rsidTr="00106510">
        <w:trPr>
          <w:trHeight w:val="976"/>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工业增加值</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宋体" w:hint="eastAsia"/>
                <w:color w:val="000000"/>
                <w:sz w:val="18"/>
                <w:szCs w:val="18"/>
              </w:rPr>
              <w:t>2017</w:t>
            </w:r>
            <w:r>
              <w:rPr>
                <w:rFonts w:ascii="宋体" w:hAnsi="宋体" w:cs="宋体" w:hint="eastAsia"/>
                <w:color w:val="000000"/>
                <w:sz w:val="18"/>
                <w:szCs w:val="18"/>
              </w:rPr>
              <w:t>年</w:t>
            </w:r>
            <w:r>
              <w:rPr>
                <w:rFonts w:ascii="宋体" w:hAnsi="宋体" w:cs="宋体" w:hint="eastAsia"/>
                <w:color w:val="000000"/>
                <w:sz w:val="18"/>
                <w:szCs w:val="18"/>
              </w:rPr>
              <w:t>9</w:t>
            </w:r>
            <w:r>
              <w:rPr>
                <w:rFonts w:ascii="宋体" w:hAnsi="宋体" w:cs="宋体" w:hint="eastAsia"/>
                <w:color w:val="000000"/>
                <w:sz w:val="18"/>
                <w:szCs w:val="18"/>
              </w:rPr>
              <w:t>月份，规模以上工业增加值同比实际增长</w:t>
            </w:r>
            <w:r>
              <w:rPr>
                <w:rFonts w:ascii="宋体" w:hAnsi="宋体" w:cs="宋体" w:hint="eastAsia"/>
                <w:color w:val="000000"/>
                <w:sz w:val="18"/>
                <w:szCs w:val="18"/>
              </w:rPr>
              <w:t>6.6%</w:t>
            </w:r>
            <w:r>
              <w:rPr>
                <w:rFonts w:ascii="宋体" w:hAnsi="宋体" w:cs="宋体" w:hint="eastAsia"/>
                <w:color w:val="000000"/>
                <w:sz w:val="18"/>
                <w:szCs w:val="18"/>
              </w:rPr>
              <w:t>（以下增加值增速均为扣除价格因素的实际增长率），比</w:t>
            </w:r>
            <w:r>
              <w:rPr>
                <w:rFonts w:ascii="宋体" w:hAnsi="宋体" w:cs="宋体" w:hint="eastAsia"/>
                <w:color w:val="000000"/>
                <w:sz w:val="18"/>
                <w:szCs w:val="18"/>
              </w:rPr>
              <w:t>8</w:t>
            </w:r>
            <w:r>
              <w:rPr>
                <w:rFonts w:ascii="宋体" w:hAnsi="宋体" w:cs="宋体" w:hint="eastAsia"/>
                <w:color w:val="000000"/>
                <w:sz w:val="18"/>
                <w:szCs w:val="18"/>
              </w:rPr>
              <w:t>月份加快</w:t>
            </w:r>
            <w:r>
              <w:rPr>
                <w:rFonts w:ascii="宋体" w:hAnsi="宋体" w:cs="宋体" w:hint="eastAsia"/>
                <w:color w:val="000000"/>
                <w:sz w:val="18"/>
                <w:szCs w:val="18"/>
              </w:rPr>
              <w:t>0.6</w:t>
            </w:r>
            <w:r>
              <w:rPr>
                <w:rFonts w:ascii="宋体" w:hAnsi="宋体" w:cs="宋体" w:hint="eastAsia"/>
                <w:color w:val="000000"/>
                <w:sz w:val="18"/>
                <w:szCs w:val="18"/>
              </w:rPr>
              <w:t>个百分点。从环比看，</w:t>
            </w:r>
            <w:r>
              <w:rPr>
                <w:rFonts w:ascii="宋体" w:hAnsi="宋体" w:cs="宋体" w:hint="eastAsia"/>
                <w:color w:val="000000"/>
                <w:sz w:val="18"/>
                <w:szCs w:val="18"/>
              </w:rPr>
              <w:t>9</w:t>
            </w:r>
            <w:r>
              <w:rPr>
                <w:rFonts w:ascii="宋体" w:hAnsi="宋体" w:cs="宋体" w:hint="eastAsia"/>
                <w:color w:val="000000"/>
                <w:sz w:val="18"/>
                <w:szCs w:val="18"/>
              </w:rPr>
              <w:t>月份，规模以上工业增加值比上月增长</w:t>
            </w:r>
            <w:r>
              <w:rPr>
                <w:rFonts w:ascii="宋体" w:hAnsi="宋体" w:cs="宋体" w:hint="eastAsia"/>
                <w:color w:val="000000"/>
                <w:sz w:val="18"/>
                <w:szCs w:val="18"/>
              </w:rPr>
              <w:t>0.56%</w:t>
            </w:r>
            <w:r>
              <w:rPr>
                <w:rFonts w:ascii="宋体" w:hAnsi="宋体" w:cs="宋体" w:hint="eastAsia"/>
                <w:color w:val="000000"/>
                <w:sz w:val="18"/>
                <w:szCs w:val="18"/>
              </w:rPr>
              <w:t>。</w:t>
            </w:r>
            <w:r>
              <w:rPr>
                <w:rFonts w:ascii="宋体" w:hAnsi="宋体" w:cs="宋体" w:hint="eastAsia"/>
                <w:color w:val="000000"/>
                <w:sz w:val="18"/>
                <w:szCs w:val="18"/>
              </w:rPr>
              <w:t>1-9</w:t>
            </w:r>
            <w:r>
              <w:rPr>
                <w:rFonts w:ascii="宋体" w:hAnsi="宋体" w:cs="宋体" w:hint="eastAsia"/>
                <w:color w:val="000000"/>
                <w:sz w:val="18"/>
                <w:szCs w:val="18"/>
              </w:rPr>
              <w:t>月份，规模以上工业增加值同比增长</w:t>
            </w:r>
            <w:r>
              <w:rPr>
                <w:rFonts w:ascii="宋体" w:hAnsi="宋体" w:cs="宋体" w:hint="eastAsia"/>
                <w:color w:val="000000"/>
                <w:sz w:val="18"/>
                <w:szCs w:val="18"/>
              </w:rPr>
              <w:t>6.7%</w:t>
            </w:r>
            <w:r>
              <w:rPr>
                <w:rFonts w:ascii="宋体" w:hAnsi="宋体" w:cs="宋体" w:hint="eastAsia"/>
                <w:color w:val="000000"/>
                <w:sz w:val="18"/>
                <w:szCs w:val="18"/>
              </w:rPr>
              <w:t>。</w:t>
            </w:r>
          </w:p>
        </w:tc>
      </w:tr>
      <w:tr w:rsidR="00937CC5" w:rsidTr="00106510">
        <w:trPr>
          <w:trHeight w:val="693"/>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货币</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Arial" w:hint="eastAsia"/>
                <w:color w:val="333333"/>
                <w:sz w:val="18"/>
                <w:szCs w:val="18"/>
                <w:shd w:val="clear" w:color="auto" w:fill="FFFFFF"/>
              </w:rPr>
              <w:t>央行数据显示，</w:t>
            </w:r>
            <w:r>
              <w:rPr>
                <w:rFonts w:ascii="宋体" w:hAnsi="宋体" w:cs="Arial" w:hint="eastAsia"/>
                <w:color w:val="333333"/>
                <w:sz w:val="18"/>
                <w:szCs w:val="18"/>
                <w:shd w:val="clear" w:color="auto" w:fill="FFFFFF"/>
              </w:rPr>
              <w:t>9</w:t>
            </w:r>
            <w:r>
              <w:rPr>
                <w:rFonts w:ascii="宋体" w:hAnsi="宋体" w:cs="Arial" w:hint="eastAsia"/>
                <w:color w:val="333333"/>
                <w:sz w:val="18"/>
                <w:szCs w:val="18"/>
                <w:shd w:val="clear" w:color="auto" w:fill="FFFFFF"/>
              </w:rPr>
              <w:t>月末广义货币</w:t>
            </w:r>
            <w:r>
              <w:rPr>
                <w:rFonts w:ascii="宋体" w:hAnsi="宋体" w:cs="Arial" w:hint="eastAsia"/>
                <w:color w:val="333333"/>
                <w:sz w:val="18"/>
                <w:szCs w:val="18"/>
                <w:shd w:val="clear" w:color="auto" w:fill="FFFFFF"/>
              </w:rPr>
              <w:t>(M2)</w:t>
            </w:r>
            <w:r>
              <w:rPr>
                <w:rFonts w:ascii="宋体" w:hAnsi="宋体" w:cs="Arial" w:hint="eastAsia"/>
                <w:color w:val="333333"/>
                <w:sz w:val="18"/>
                <w:szCs w:val="18"/>
                <w:shd w:val="clear" w:color="auto" w:fill="FFFFFF"/>
              </w:rPr>
              <w:t>余额</w:t>
            </w:r>
            <w:r>
              <w:rPr>
                <w:rFonts w:ascii="宋体" w:hAnsi="宋体" w:cs="Arial" w:hint="eastAsia"/>
                <w:color w:val="333333"/>
                <w:sz w:val="18"/>
                <w:szCs w:val="18"/>
                <w:shd w:val="clear" w:color="auto" w:fill="FFFFFF"/>
              </w:rPr>
              <w:t>165.56</w:t>
            </w:r>
            <w:proofErr w:type="gramStart"/>
            <w:r>
              <w:rPr>
                <w:rFonts w:ascii="宋体" w:hAnsi="宋体" w:cs="Arial" w:hint="eastAsia"/>
                <w:color w:val="333333"/>
                <w:sz w:val="18"/>
                <w:szCs w:val="18"/>
                <w:shd w:val="clear" w:color="auto" w:fill="FFFFFF"/>
              </w:rPr>
              <w:t>万亿</w:t>
            </w:r>
            <w:proofErr w:type="gramEnd"/>
            <w:r>
              <w:rPr>
                <w:rFonts w:ascii="宋体" w:hAnsi="宋体" w:cs="Arial" w:hint="eastAsia"/>
                <w:color w:val="333333"/>
                <w:sz w:val="18"/>
                <w:szCs w:val="18"/>
                <w:shd w:val="clear" w:color="auto" w:fill="FFFFFF"/>
              </w:rPr>
              <w:t>元，同比增长</w:t>
            </w:r>
            <w:r>
              <w:rPr>
                <w:rFonts w:ascii="宋体" w:hAnsi="宋体" w:cs="Arial" w:hint="eastAsia"/>
                <w:color w:val="333333"/>
                <w:sz w:val="18"/>
                <w:szCs w:val="18"/>
                <w:shd w:val="clear" w:color="auto" w:fill="FFFFFF"/>
              </w:rPr>
              <w:t>9.2%</w:t>
            </w:r>
            <w:r>
              <w:rPr>
                <w:rFonts w:ascii="宋体" w:hAnsi="宋体" w:cs="Arial" w:hint="eastAsia"/>
                <w:color w:val="333333"/>
                <w:sz w:val="18"/>
                <w:szCs w:val="18"/>
                <w:shd w:val="clear" w:color="auto" w:fill="FFFFFF"/>
              </w:rPr>
              <w:t>，预期</w:t>
            </w:r>
            <w:r>
              <w:rPr>
                <w:rFonts w:ascii="宋体" w:hAnsi="宋体" w:cs="Arial" w:hint="eastAsia"/>
                <w:color w:val="333333"/>
                <w:sz w:val="18"/>
                <w:szCs w:val="18"/>
                <w:shd w:val="clear" w:color="auto" w:fill="FFFFFF"/>
              </w:rPr>
              <w:t>8.9%</w:t>
            </w:r>
            <w:r>
              <w:rPr>
                <w:rFonts w:ascii="宋体" w:hAnsi="宋体" w:cs="Arial" w:hint="eastAsia"/>
                <w:color w:val="333333"/>
                <w:sz w:val="18"/>
                <w:szCs w:val="18"/>
                <w:shd w:val="clear" w:color="auto" w:fill="FFFFFF"/>
              </w:rPr>
              <w:t>，前值</w:t>
            </w:r>
            <w:r>
              <w:rPr>
                <w:rFonts w:ascii="宋体" w:hAnsi="宋体" w:cs="Arial" w:hint="eastAsia"/>
                <w:color w:val="333333"/>
                <w:sz w:val="18"/>
                <w:szCs w:val="18"/>
                <w:shd w:val="clear" w:color="auto" w:fill="FFFFFF"/>
              </w:rPr>
              <w:t>8.9%</w:t>
            </w:r>
            <w:r>
              <w:rPr>
                <w:rFonts w:ascii="宋体" w:hAnsi="宋体" w:cs="Arial" w:hint="eastAsia"/>
                <w:color w:val="333333"/>
                <w:sz w:val="18"/>
                <w:szCs w:val="18"/>
                <w:shd w:val="clear" w:color="auto" w:fill="FFFFFF"/>
              </w:rPr>
              <w:t>，增速八个月来首次反弹。</w:t>
            </w:r>
          </w:p>
        </w:tc>
      </w:tr>
      <w:tr w:rsidR="00937CC5" w:rsidTr="00106510">
        <w:trPr>
          <w:trHeight w:val="1117"/>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工业企业</w:t>
            </w:r>
          </w:p>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利润</w:t>
            </w:r>
          </w:p>
        </w:tc>
        <w:tc>
          <w:tcPr>
            <w:tcW w:w="7393" w:type="dxa"/>
            <w:vAlign w:val="center"/>
          </w:tcPr>
          <w:p w:rsidR="00937CC5" w:rsidRDefault="00D43B3E">
            <w:pPr>
              <w:rPr>
                <w:rFonts w:ascii="宋体" w:hAnsi="宋体" w:cs="Arial"/>
                <w:color w:val="333333"/>
                <w:sz w:val="18"/>
                <w:szCs w:val="18"/>
                <w:shd w:val="clear" w:color="auto" w:fill="FFFFFF"/>
              </w:rPr>
            </w:pPr>
            <w:r w:rsidRPr="00D43B3E">
              <w:rPr>
                <w:rFonts w:ascii="宋体" w:hAnsi="宋体" w:cs="Arial"/>
                <w:color w:val="333333"/>
                <w:sz w:val="18"/>
                <w:szCs w:val="18"/>
                <w:shd w:val="clear" w:color="auto" w:fill="FFFFFF"/>
              </w:rPr>
              <w:t>2017</w:t>
            </w:r>
            <w:r w:rsidRPr="00D43B3E">
              <w:rPr>
                <w:rFonts w:ascii="宋体" w:hAnsi="宋体" w:cs="Arial" w:hint="eastAsia"/>
                <w:color w:val="333333"/>
                <w:sz w:val="18"/>
                <w:szCs w:val="18"/>
                <w:shd w:val="clear" w:color="auto" w:fill="FFFFFF"/>
              </w:rPr>
              <w:t>年</w:t>
            </w:r>
            <w:r w:rsidRPr="00D43B3E">
              <w:rPr>
                <w:rFonts w:ascii="宋体" w:hAnsi="宋体" w:cs="Arial"/>
                <w:color w:val="333333"/>
                <w:sz w:val="18"/>
                <w:szCs w:val="18"/>
                <w:shd w:val="clear" w:color="auto" w:fill="FFFFFF"/>
              </w:rPr>
              <w:t>1-9</w:t>
            </w:r>
            <w:r w:rsidRPr="00D43B3E">
              <w:rPr>
                <w:rFonts w:ascii="宋体" w:hAnsi="宋体" w:cs="Arial" w:hint="eastAsia"/>
                <w:color w:val="333333"/>
                <w:sz w:val="18"/>
                <w:szCs w:val="18"/>
                <w:shd w:val="clear" w:color="auto" w:fill="FFFFFF"/>
              </w:rPr>
              <w:t>月份，规模以上工业企业利润同比增长</w:t>
            </w:r>
            <w:r w:rsidRPr="00D43B3E">
              <w:rPr>
                <w:rFonts w:ascii="宋体" w:hAnsi="宋体" w:cs="Arial"/>
                <w:color w:val="333333"/>
                <w:sz w:val="18"/>
                <w:szCs w:val="18"/>
                <w:shd w:val="clear" w:color="auto" w:fill="FFFFFF"/>
              </w:rPr>
              <w:t>22.8%</w:t>
            </w:r>
            <w:r w:rsidRPr="00D43B3E">
              <w:rPr>
                <w:rFonts w:ascii="宋体" w:hAnsi="宋体" w:cs="Arial" w:hint="eastAsia"/>
                <w:color w:val="333333"/>
                <w:sz w:val="18"/>
                <w:szCs w:val="18"/>
                <w:shd w:val="clear" w:color="auto" w:fill="FFFFFF"/>
              </w:rPr>
              <w:t>，增速比</w:t>
            </w:r>
            <w:r w:rsidRPr="00D43B3E">
              <w:rPr>
                <w:rFonts w:ascii="宋体" w:hAnsi="宋体" w:cs="Arial"/>
                <w:color w:val="333333"/>
                <w:sz w:val="18"/>
                <w:szCs w:val="18"/>
                <w:shd w:val="clear" w:color="auto" w:fill="FFFFFF"/>
              </w:rPr>
              <w:t>1-8</w:t>
            </w:r>
            <w:r w:rsidRPr="00D43B3E">
              <w:rPr>
                <w:rFonts w:ascii="宋体" w:hAnsi="宋体" w:cs="Arial" w:hint="eastAsia"/>
                <w:color w:val="333333"/>
                <w:sz w:val="18"/>
                <w:szCs w:val="18"/>
                <w:shd w:val="clear" w:color="auto" w:fill="FFFFFF"/>
              </w:rPr>
              <w:t>月份加快</w:t>
            </w:r>
            <w:r w:rsidRPr="00D43B3E">
              <w:rPr>
                <w:rFonts w:ascii="宋体" w:hAnsi="宋体" w:cs="Arial"/>
                <w:color w:val="333333"/>
                <w:sz w:val="18"/>
                <w:szCs w:val="18"/>
                <w:shd w:val="clear" w:color="auto" w:fill="FFFFFF"/>
              </w:rPr>
              <w:t>1.2</w:t>
            </w:r>
            <w:r w:rsidRPr="00D43B3E">
              <w:rPr>
                <w:rFonts w:ascii="宋体" w:hAnsi="宋体" w:cs="Arial" w:hint="eastAsia"/>
                <w:color w:val="333333"/>
                <w:sz w:val="18"/>
                <w:szCs w:val="18"/>
                <w:shd w:val="clear" w:color="auto" w:fill="FFFFFF"/>
              </w:rPr>
              <w:t>个百分点。其中，</w:t>
            </w:r>
            <w:r w:rsidRPr="00D43B3E">
              <w:rPr>
                <w:rFonts w:ascii="宋体" w:hAnsi="宋体" w:cs="Arial"/>
                <w:color w:val="333333"/>
                <w:sz w:val="18"/>
                <w:szCs w:val="18"/>
                <w:shd w:val="clear" w:color="auto" w:fill="FFFFFF"/>
              </w:rPr>
              <w:t>9</w:t>
            </w:r>
            <w:r w:rsidRPr="00D43B3E">
              <w:rPr>
                <w:rFonts w:ascii="宋体" w:hAnsi="宋体" w:cs="Arial" w:hint="eastAsia"/>
                <w:color w:val="333333"/>
                <w:sz w:val="18"/>
                <w:szCs w:val="18"/>
                <w:shd w:val="clear" w:color="auto" w:fill="FFFFFF"/>
              </w:rPr>
              <w:t>月份利润同比增长</w:t>
            </w:r>
            <w:r w:rsidRPr="00D43B3E">
              <w:rPr>
                <w:rFonts w:ascii="宋体" w:hAnsi="宋体" w:cs="Arial"/>
                <w:color w:val="333333"/>
                <w:sz w:val="18"/>
                <w:szCs w:val="18"/>
                <w:shd w:val="clear" w:color="auto" w:fill="FFFFFF"/>
              </w:rPr>
              <w:t>27.7%</w:t>
            </w:r>
            <w:r w:rsidRPr="00D43B3E">
              <w:rPr>
                <w:rFonts w:ascii="宋体" w:hAnsi="宋体" w:cs="Arial" w:hint="eastAsia"/>
                <w:color w:val="333333"/>
                <w:sz w:val="18"/>
                <w:szCs w:val="18"/>
                <w:shd w:val="clear" w:color="auto" w:fill="FFFFFF"/>
              </w:rPr>
              <w:t>，增速比</w:t>
            </w:r>
            <w:r w:rsidRPr="00D43B3E">
              <w:rPr>
                <w:rFonts w:ascii="宋体" w:hAnsi="宋体" w:cs="Arial"/>
                <w:color w:val="333333"/>
                <w:sz w:val="18"/>
                <w:szCs w:val="18"/>
                <w:shd w:val="clear" w:color="auto" w:fill="FFFFFF"/>
              </w:rPr>
              <w:t>8</w:t>
            </w:r>
            <w:r w:rsidRPr="00D43B3E">
              <w:rPr>
                <w:rFonts w:ascii="宋体" w:hAnsi="宋体" w:cs="Arial" w:hint="eastAsia"/>
                <w:color w:val="333333"/>
                <w:sz w:val="18"/>
                <w:szCs w:val="18"/>
                <w:shd w:val="clear" w:color="auto" w:fill="FFFFFF"/>
              </w:rPr>
              <w:t>月份加快</w:t>
            </w:r>
            <w:r w:rsidRPr="00D43B3E">
              <w:rPr>
                <w:rFonts w:ascii="宋体" w:hAnsi="宋体" w:cs="Arial"/>
                <w:color w:val="333333"/>
                <w:sz w:val="18"/>
                <w:szCs w:val="18"/>
                <w:shd w:val="clear" w:color="auto" w:fill="FFFFFF"/>
              </w:rPr>
              <w:t>3.7</w:t>
            </w:r>
            <w:r w:rsidRPr="00D43B3E">
              <w:rPr>
                <w:rFonts w:ascii="宋体" w:hAnsi="宋体" w:cs="Arial" w:hint="eastAsia"/>
                <w:color w:val="333333"/>
                <w:sz w:val="18"/>
                <w:szCs w:val="18"/>
                <w:shd w:val="clear" w:color="auto" w:fill="FFFFFF"/>
              </w:rPr>
              <w:t>个百分点，连续两个月保持明显加快势头。</w:t>
            </w:r>
          </w:p>
        </w:tc>
      </w:tr>
      <w:tr w:rsidR="00937CC5">
        <w:trPr>
          <w:trHeight w:val="1407"/>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固定投资</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宋体" w:hint="eastAsia"/>
                <w:color w:val="000000"/>
                <w:sz w:val="18"/>
                <w:szCs w:val="18"/>
              </w:rPr>
              <w:t>2017</w:t>
            </w:r>
            <w:r>
              <w:rPr>
                <w:rFonts w:ascii="宋体" w:hAnsi="宋体" w:cs="宋体" w:hint="eastAsia"/>
                <w:color w:val="000000"/>
                <w:sz w:val="18"/>
                <w:szCs w:val="18"/>
              </w:rPr>
              <w:t>年</w:t>
            </w:r>
            <w:r>
              <w:rPr>
                <w:rFonts w:ascii="宋体" w:hAnsi="宋体" w:cs="宋体" w:hint="eastAsia"/>
                <w:color w:val="000000"/>
                <w:sz w:val="18"/>
                <w:szCs w:val="18"/>
              </w:rPr>
              <w:t>1-9</w:t>
            </w:r>
            <w:r>
              <w:rPr>
                <w:rFonts w:ascii="宋体" w:hAnsi="宋体" w:cs="宋体" w:hint="eastAsia"/>
                <w:color w:val="000000"/>
                <w:sz w:val="18"/>
                <w:szCs w:val="18"/>
              </w:rPr>
              <w:t>月份，全国固定资产投资（不含农户）</w:t>
            </w:r>
            <w:r>
              <w:rPr>
                <w:rFonts w:ascii="宋体" w:hAnsi="宋体" w:cs="宋体" w:hint="eastAsia"/>
                <w:color w:val="000000"/>
                <w:sz w:val="18"/>
                <w:szCs w:val="18"/>
              </w:rPr>
              <w:t>458478</w:t>
            </w:r>
            <w:r>
              <w:rPr>
                <w:rFonts w:ascii="宋体" w:hAnsi="宋体" w:cs="宋体" w:hint="eastAsia"/>
                <w:color w:val="000000"/>
                <w:sz w:val="18"/>
                <w:szCs w:val="18"/>
              </w:rPr>
              <w:t>亿元，同比增长</w:t>
            </w:r>
            <w:r>
              <w:rPr>
                <w:rFonts w:ascii="宋体" w:hAnsi="宋体" w:cs="宋体" w:hint="eastAsia"/>
                <w:color w:val="000000"/>
                <w:sz w:val="18"/>
                <w:szCs w:val="18"/>
              </w:rPr>
              <w:t>7.5%</w:t>
            </w:r>
            <w:r>
              <w:rPr>
                <w:rFonts w:ascii="宋体" w:hAnsi="宋体" w:cs="宋体" w:hint="eastAsia"/>
                <w:color w:val="000000"/>
                <w:sz w:val="18"/>
                <w:szCs w:val="18"/>
              </w:rPr>
              <w:t>，增速比上年同期回落</w:t>
            </w:r>
            <w:r>
              <w:rPr>
                <w:rFonts w:ascii="宋体" w:hAnsi="宋体" w:cs="宋体" w:hint="eastAsia"/>
                <w:color w:val="000000"/>
                <w:sz w:val="18"/>
                <w:szCs w:val="18"/>
              </w:rPr>
              <w:t>0.7</w:t>
            </w:r>
            <w:r>
              <w:rPr>
                <w:rFonts w:ascii="宋体" w:hAnsi="宋体" w:cs="宋体" w:hint="eastAsia"/>
                <w:color w:val="000000"/>
                <w:sz w:val="18"/>
                <w:szCs w:val="18"/>
              </w:rPr>
              <w:t>个百分点。其中，国有控股投资</w:t>
            </w:r>
            <w:r>
              <w:rPr>
                <w:rFonts w:ascii="宋体" w:hAnsi="宋体" w:cs="宋体" w:hint="eastAsia"/>
                <w:color w:val="000000"/>
                <w:sz w:val="18"/>
                <w:szCs w:val="18"/>
              </w:rPr>
              <w:t>168164</w:t>
            </w:r>
            <w:r>
              <w:rPr>
                <w:rFonts w:ascii="宋体" w:hAnsi="宋体" w:cs="宋体" w:hint="eastAsia"/>
                <w:color w:val="000000"/>
                <w:sz w:val="18"/>
                <w:szCs w:val="18"/>
              </w:rPr>
              <w:t>亿元，增长</w:t>
            </w:r>
            <w:r>
              <w:rPr>
                <w:rFonts w:ascii="宋体" w:hAnsi="宋体" w:cs="宋体" w:hint="eastAsia"/>
                <w:color w:val="000000"/>
                <w:sz w:val="18"/>
                <w:szCs w:val="18"/>
              </w:rPr>
              <w:t>11.0%</w:t>
            </w:r>
            <w:r>
              <w:rPr>
                <w:rFonts w:ascii="宋体" w:hAnsi="宋体" w:cs="宋体" w:hint="eastAsia"/>
                <w:color w:val="000000"/>
                <w:sz w:val="18"/>
                <w:szCs w:val="18"/>
              </w:rPr>
              <w:t>；民间投资</w:t>
            </w:r>
            <w:r>
              <w:rPr>
                <w:rFonts w:ascii="宋体" w:hAnsi="宋体" w:cs="宋体" w:hint="eastAsia"/>
                <w:color w:val="000000"/>
                <w:sz w:val="18"/>
                <w:szCs w:val="18"/>
              </w:rPr>
              <w:t>277520</w:t>
            </w:r>
            <w:r>
              <w:rPr>
                <w:rFonts w:ascii="宋体" w:hAnsi="宋体" w:cs="宋体" w:hint="eastAsia"/>
                <w:color w:val="000000"/>
                <w:sz w:val="18"/>
                <w:szCs w:val="18"/>
              </w:rPr>
              <w:t>亿元，增长</w:t>
            </w:r>
            <w:r>
              <w:rPr>
                <w:rFonts w:ascii="宋体" w:hAnsi="宋体" w:cs="宋体" w:hint="eastAsia"/>
                <w:color w:val="000000"/>
                <w:sz w:val="18"/>
                <w:szCs w:val="18"/>
              </w:rPr>
              <w:t>6.0%</w:t>
            </w:r>
            <w:r>
              <w:rPr>
                <w:rFonts w:ascii="宋体" w:hAnsi="宋体" w:cs="宋体" w:hint="eastAsia"/>
                <w:color w:val="000000"/>
                <w:sz w:val="18"/>
                <w:szCs w:val="18"/>
              </w:rPr>
              <w:t>，占全部投资的比重为</w:t>
            </w:r>
            <w:r>
              <w:rPr>
                <w:rFonts w:ascii="宋体" w:hAnsi="宋体" w:cs="宋体" w:hint="eastAsia"/>
                <w:color w:val="000000"/>
                <w:sz w:val="18"/>
                <w:szCs w:val="18"/>
              </w:rPr>
              <w:t>60.5%</w:t>
            </w:r>
            <w:r>
              <w:rPr>
                <w:rFonts w:ascii="宋体" w:hAnsi="宋体" w:cs="宋体" w:hint="eastAsia"/>
                <w:color w:val="000000"/>
                <w:sz w:val="18"/>
                <w:szCs w:val="18"/>
              </w:rPr>
              <w:t>。分产业看，第一产业投资</w:t>
            </w:r>
            <w:r>
              <w:rPr>
                <w:rFonts w:ascii="宋体" w:hAnsi="宋体" w:cs="宋体" w:hint="eastAsia"/>
                <w:color w:val="000000"/>
                <w:sz w:val="18"/>
                <w:szCs w:val="18"/>
              </w:rPr>
              <w:t>14973</w:t>
            </w:r>
            <w:r>
              <w:rPr>
                <w:rFonts w:ascii="宋体" w:hAnsi="宋体" w:cs="宋体" w:hint="eastAsia"/>
                <w:color w:val="000000"/>
                <w:sz w:val="18"/>
                <w:szCs w:val="18"/>
              </w:rPr>
              <w:t>亿元，增长</w:t>
            </w:r>
            <w:r>
              <w:rPr>
                <w:rFonts w:ascii="宋体" w:hAnsi="宋体" w:cs="宋体" w:hint="eastAsia"/>
                <w:color w:val="000000"/>
                <w:sz w:val="18"/>
                <w:szCs w:val="18"/>
              </w:rPr>
              <w:t>11.8%</w:t>
            </w:r>
            <w:r>
              <w:rPr>
                <w:rFonts w:ascii="宋体" w:hAnsi="宋体" w:cs="宋体" w:hint="eastAsia"/>
                <w:color w:val="000000"/>
                <w:sz w:val="18"/>
                <w:szCs w:val="18"/>
              </w:rPr>
              <w:t>；第二产业投资</w:t>
            </w:r>
            <w:r>
              <w:rPr>
                <w:rFonts w:ascii="宋体" w:hAnsi="宋体" w:cs="宋体" w:hint="eastAsia"/>
                <w:color w:val="000000"/>
                <w:sz w:val="18"/>
                <w:szCs w:val="18"/>
              </w:rPr>
              <w:t>171787</w:t>
            </w:r>
            <w:r>
              <w:rPr>
                <w:rFonts w:ascii="宋体" w:hAnsi="宋体" w:cs="宋体" w:hint="eastAsia"/>
                <w:color w:val="000000"/>
                <w:sz w:val="18"/>
                <w:szCs w:val="18"/>
              </w:rPr>
              <w:t>亿元，增长</w:t>
            </w:r>
            <w:r>
              <w:rPr>
                <w:rFonts w:ascii="宋体" w:hAnsi="宋体" w:cs="宋体" w:hint="eastAsia"/>
                <w:color w:val="000000"/>
                <w:sz w:val="18"/>
                <w:szCs w:val="18"/>
              </w:rPr>
              <w:t>2.6%</w:t>
            </w:r>
            <w:r>
              <w:rPr>
                <w:rFonts w:ascii="宋体" w:hAnsi="宋体" w:cs="宋体" w:hint="eastAsia"/>
                <w:color w:val="000000"/>
                <w:sz w:val="18"/>
                <w:szCs w:val="18"/>
              </w:rPr>
              <w:t>，其中制造业投资</w:t>
            </w:r>
            <w:r>
              <w:rPr>
                <w:rFonts w:ascii="宋体" w:hAnsi="宋体" w:cs="宋体" w:hint="eastAsia"/>
                <w:color w:val="000000"/>
                <w:sz w:val="18"/>
                <w:szCs w:val="18"/>
              </w:rPr>
              <w:t>140819</w:t>
            </w:r>
            <w:r>
              <w:rPr>
                <w:rFonts w:ascii="宋体" w:hAnsi="宋体" w:cs="宋体" w:hint="eastAsia"/>
                <w:color w:val="000000"/>
                <w:sz w:val="18"/>
                <w:szCs w:val="18"/>
              </w:rPr>
              <w:t>亿元，增长</w:t>
            </w:r>
            <w:r>
              <w:rPr>
                <w:rFonts w:ascii="宋体" w:hAnsi="宋体" w:cs="宋体" w:hint="eastAsia"/>
                <w:color w:val="000000"/>
                <w:sz w:val="18"/>
                <w:szCs w:val="18"/>
              </w:rPr>
              <w:t>4.2%</w:t>
            </w:r>
            <w:r>
              <w:rPr>
                <w:rFonts w:ascii="宋体" w:hAnsi="宋体" w:cs="宋体" w:hint="eastAsia"/>
                <w:color w:val="000000"/>
                <w:sz w:val="18"/>
                <w:szCs w:val="18"/>
              </w:rPr>
              <w:t>；第三产业投资</w:t>
            </w:r>
            <w:r>
              <w:rPr>
                <w:rFonts w:ascii="宋体" w:hAnsi="宋体" w:cs="宋体" w:hint="eastAsia"/>
                <w:color w:val="000000"/>
                <w:sz w:val="18"/>
                <w:szCs w:val="18"/>
              </w:rPr>
              <w:t>271718</w:t>
            </w:r>
            <w:r>
              <w:rPr>
                <w:rFonts w:ascii="宋体" w:hAnsi="宋体" w:cs="宋体" w:hint="eastAsia"/>
                <w:color w:val="000000"/>
                <w:sz w:val="18"/>
                <w:szCs w:val="18"/>
              </w:rPr>
              <w:t>亿元，增长</w:t>
            </w:r>
            <w:r>
              <w:rPr>
                <w:rFonts w:ascii="宋体" w:hAnsi="宋体" w:cs="宋体" w:hint="eastAsia"/>
                <w:color w:val="000000"/>
                <w:sz w:val="18"/>
                <w:szCs w:val="18"/>
              </w:rPr>
              <w:t>10.5%</w:t>
            </w:r>
            <w:r>
              <w:rPr>
                <w:rFonts w:ascii="宋体" w:hAnsi="宋体" w:cs="宋体" w:hint="eastAsia"/>
                <w:color w:val="000000"/>
                <w:sz w:val="18"/>
                <w:szCs w:val="18"/>
              </w:rPr>
              <w:t>。</w:t>
            </w:r>
          </w:p>
        </w:tc>
      </w:tr>
      <w:tr w:rsidR="00937CC5">
        <w:trPr>
          <w:trHeight w:val="284"/>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房地产开发投资</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Arial" w:hint="eastAsia"/>
                <w:color w:val="333333"/>
                <w:sz w:val="18"/>
                <w:szCs w:val="18"/>
                <w:shd w:val="clear" w:color="auto" w:fill="FFFFFF"/>
              </w:rPr>
              <w:t>2017</w:t>
            </w:r>
            <w:r>
              <w:rPr>
                <w:rFonts w:ascii="宋体" w:hAnsi="宋体" w:cs="Arial" w:hint="eastAsia"/>
                <w:color w:val="333333"/>
                <w:sz w:val="18"/>
                <w:szCs w:val="18"/>
                <w:shd w:val="clear" w:color="auto" w:fill="FFFFFF"/>
              </w:rPr>
              <w:t>年前三季度，全国房地产开发投资</w:t>
            </w:r>
            <w:r>
              <w:rPr>
                <w:rFonts w:ascii="宋体" w:hAnsi="宋体" w:cs="Arial" w:hint="eastAsia"/>
                <w:color w:val="333333"/>
                <w:sz w:val="18"/>
                <w:szCs w:val="18"/>
                <w:shd w:val="clear" w:color="auto" w:fill="FFFFFF"/>
              </w:rPr>
              <w:t>80644</w:t>
            </w:r>
            <w:r>
              <w:rPr>
                <w:rFonts w:ascii="宋体" w:hAnsi="宋体" w:cs="Arial" w:hint="eastAsia"/>
                <w:color w:val="333333"/>
                <w:sz w:val="18"/>
                <w:szCs w:val="18"/>
                <w:shd w:val="clear" w:color="auto" w:fill="FFFFFF"/>
              </w:rPr>
              <w:t>亿元，同比增长</w:t>
            </w:r>
            <w:r>
              <w:rPr>
                <w:rFonts w:ascii="宋体" w:hAnsi="宋体" w:cs="Arial" w:hint="eastAsia"/>
                <w:color w:val="333333"/>
                <w:sz w:val="18"/>
                <w:szCs w:val="18"/>
                <w:shd w:val="clear" w:color="auto" w:fill="FFFFFF"/>
              </w:rPr>
              <w:t>8.1%</w:t>
            </w:r>
            <w:r>
              <w:rPr>
                <w:rFonts w:ascii="宋体" w:hAnsi="宋体" w:cs="Arial" w:hint="eastAsia"/>
                <w:color w:val="333333"/>
                <w:sz w:val="18"/>
                <w:szCs w:val="18"/>
                <w:shd w:val="clear" w:color="auto" w:fill="FFFFFF"/>
              </w:rPr>
              <w:t>，增速比上年同期加快</w:t>
            </w:r>
            <w:r>
              <w:rPr>
                <w:rFonts w:ascii="宋体" w:hAnsi="宋体" w:cs="Arial" w:hint="eastAsia"/>
                <w:color w:val="333333"/>
                <w:sz w:val="18"/>
                <w:szCs w:val="18"/>
                <w:shd w:val="clear" w:color="auto" w:fill="FFFFFF"/>
              </w:rPr>
              <w:t>2.3</w:t>
            </w:r>
            <w:r>
              <w:rPr>
                <w:rFonts w:ascii="宋体" w:hAnsi="宋体" w:cs="Arial" w:hint="eastAsia"/>
                <w:color w:val="333333"/>
                <w:sz w:val="18"/>
                <w:szCs w:val="18"/>
                <w:shd w:val="clear" w:color="auto" w:fill="FFFFFF"/>
              </w:rPr>
              <w:t>个百分点。其中，住宅投资增长</w:t>
            </w:r>
            <w:r>
              <w:rPr>
                <w:rFonts w:ascii="宋体" w:hAnsi="宋体" w:cs="Arial" w:hint="eastAsia"/>
                <w:color w:val="333333"/>
                <w:sz w:val="18"/>
                <w:szCs w:val="18"/>
                <w:shd w:val="clear" w:color="auto" w:fill="FFFFFF"/>
              </w:rPr>
              <w:t>10.4%</w:t>
            </w:r>
            <w:r>
              <w:rPr>
                <w:rFonts w:ascii="宋体" w:hAnsi="宋体" w:cs="Arial" w:hint="eastAsia"/>
                <w:color w:val="333333"/>
                <w:sz w:val="18"/>
                <w:szCs w:val="18"/>
                <w:shd w:val="clear" w:color="auto" w:fill="FFFFFF"/>
              </w:rPr>
              <w:t>。房屋新开工面积</w:t>
            </w:r>
            <w:r>
              <w:rPr>
                <w:rFonts w:ascii="宋体" w:hAnsi="宋体" w:cs="Arial" w:hint="eastAsia"/>
                <w:color w:val="333333"/>
                <w:sz w:val="18"/>
                <w:szCs w:val="18"/>
                <w:shd w:val="clear" w:color="auto" w:fill="FFFFFF"/>
              </w:rPr>
              <w:t>131033</w:t>
            </w:r>
            <w:r>
              <w:rPr>
                <w:rFonts w:ascii="宋体" w:hAnsi="宋体" w:cs="Arial" w:hint="eastAsia"/>
                <w:color w:val="333333"/>
                <w:sz w:val="18"/>
                <w:szCs w:val="18"/>
                <w:shd w:val="clear" w:color="auto" w:fill="FFFFFF"/>
              </w:rPr>
              <w:t>万平方米，同比增长</w:t>
            </w:r>
            <w:r>
              <w:rPr>
                <w:rFonts w:ascii="宋体" w:hAnsi="宋体" w:cs="Arial" w:hint="eastAsia"/>
                <w:color w:val="333333"/>
                <w:sz w:val="18"/>
                <w:szCs w:val="18"/>
                <w:shd w:val="clear" w:color="auto" w:fill="FFFFFF"/>
              </w:rPr>
              <w:t>6.8%</w:t>
            </w:r>
            <w:r>
              <w:rPr>
                <w:rFonts w:ascii="宋体" w:hAnsi="宋体" w:cs="Arial" w:hint="eastAsia"/>
                <w:color w:val="333333"/>
                <w:sz w:val="18"/>
                <w:szCs w:val="18"/>
                <w:shd w:val="clear" w:color="auto" w:fill="FFFFFF"/>
              </w:rPr>
              <w:t>，其中住宅新开工面积增长</w:t>
            </w:r>
            <w:r>
              <w:rPr>
                <w:rFonts w:ascii="宋体" w:hAnsi="宋体" w:cs="Arial" w:hint="eastAsia"/>
                <w:color w:val="333333"/>
                <w:sz w:val="18"/>
                <w:szCs w:val="18"/>
                <w:shd w:val="clear" w:color="auto" w:fill="FFFFFF"/>
              </w:rPr>
              <w:t>11.1%</w:t>
            </w:r>
            <w:r>
              <w:rPr>
                <w:rFonts w:ascii="宋体" w:hAnsi="宋体" w:cs="Arial" w:hint="eastAsia"/>
                <w:color w:val="333333"/>
                <w:sz w:val="18"/>
                <w:szCs w:val="18"/>
                <w:shd w:val="clear" w:color="auto" w:fill="FFFFFF"/>
              </w:rPr>
              <w:t>。全国商品房销售面积</w:t>
            </w:r>
            <w:r>
              <w:rPr>
                <w:rFonts w:ascii="宋体" w:hAnsi="宋体" w:cs="Arial" w:hint="eastAsia"/>
                <w:color w:val="333333"/>
                <w:sz w:val="18"/>
                <w:szCs w:val="18"/>
                <w:shd w:val="clear" w:color="auto" w:fill="FFFFFF"/>
              </w:rPr>
              <w:t>116006</w:t>
            </w:r>
            <w:r>
              <w:rPr>
                <w:rFonts w:ascii="宋体" w:hAnsi="宋体" w:cs="Arial" w:hint="eastAsia"/>
                <w:color w:val="333333"/>
                <w:sz w:val="18"/>
                <w:szCs w:val="18"/>
                <w:shd w:val="clear" w:color="auto" w:fill="FFFFFF"/>
              </w:rPr>
              <w:t>万平方米，增长</w:t>
            </w:r>
            <w:r>
              <w:rPr>
                <w:rFonts w:ascii="宋体" w:hAnsi="宋体" w:cs="Arial" w:hint="eastAsia"/>
                <w:color w:val="333333"/>
                <w:sz w:val="18"/>
                <w:szCs w:val="18"/>
                <w:shd w:val="clear" w:color="auto" w:fill="FFFFFF"/>
              </w:rPr>
              <w:t>10.3%</w:t>
            </w:r>
            <w:r>
              <w:rPr>
                <w:rFonts w:ascii="宋体" w:hAnsi="宋体" w:cs="Arial" w:hint="eastAsia"/>
                <w:color w:val="333333"/>
                <w:sz w:val="18"/>
                <w:szCs w:val="18"/>
                <w:shd w:val="clear" w:color="auto" w:fill="FFFFFF"/>
              </w:rPr>
              <w:t>，其中住宅销售面积增长</w:t>
            </w:r>
            <w:r>
              <w:rPr>
                <w:rFonts w:ascii="宋体" w:hAnsi="宋体" w:cs="Arial" w:hint="eastAsia"/>
                <w:color w:val="333333"/>
                <w:sz w:val="18"/>
                <w:szCs w:val="18"/>
                <w:shd w:val="clear" w:color="auto" w:fill="FFFFFF"/>
              </w:rPr>
              <w:t>7.6%</w:t>
            </w:r>
            <w:r>
              <w:rPr>
                <w:rFonts w:ascii="宋体" w:hAnsi="宋体" w:cs="Arial" w:hint="eastAsia"/>
                <w:color w:val="333333"/>
                <w:sz w:val="18"/>
                <w:szCs w:val="18"/>
                <w:shd w:val="clear" w:color="auto" w:fill="FFFFFF"/>
              </w:rPr>
              <w:t>。全国商品房销售额</w:t>
            </w:r>
            <w:r>
              <w:rPr>
                <w:rFonts w:ascii="宋体" w:hAnsi="宋体" w:cs="Arial" w:hint="eastAsia"/>
                <w:color w:val="333333"/>
                <w:sz w:val="18"/>
                <w:szCs w:val="18"/>
                <w:shd w:val="clear" w:color="auto" w:fill="FFFFFF"/>
              </w:rPr>
              <w:t>91904</w:t>
            </w:r>
            <w:r>
              <w:rPr>
                <w:rFonts w:ascii="宋体" w:hAnsi="宋体" w:cs="Arial" w:hint="eastAsia"/>
                <w:color w:val="333333"/>
                <w:sz w:val="18"/>
                <w:szCs w:val="18"/>
                <w:shd w:val="clear" w:color="auto" w:fill="FFFFFF"/>
              </w:rPr>
              <w:t>亿元，增长</w:t>
            </w:r>
            <w:r>
              <w:rPr>
                <w:rFonts w:ascii="宋体" w:hAnsi="宋体" w:cs="Arial" w:hint="eastAsia"/>
                <w:color w:val="333333"/>
                <w:sz w:val="18"/>
                <w:szCs w:val="18"/>
                <w:shd w:val="clear" w:color="auto" w:fill="FFFFFF"/>
              </w:rPr>
              <w:t>14.6%</w:t>
            </w:r>
            <w:r>
              <w:rPr>
                <w:rFonts w:ascii="宋体" w:hAnsi="宋体" w:cs="Arial" w:hint="eastAsia"/>
                <w:color w:val="333333"/>
                <w:sz w:val="18"/>
                <w:szCs w:val="18"/>
                <w:shd w:val="clear" w:color="auto" w:fill="FFFFFF"/>
              </w:rPr>
              <w:t>，其中住宅销售额增长</w:t>
            </w:r>
            <w:r>
              <w:rPr>
                <w:rFonts w:ascii="宋体" w:hAnsi="宋体" w:cs="Arial" w:hint="eastAsia"/>
                <w:color w:val="333333"/>
                <w:sz w:val="18"/>
                <w:szCs w:val="18"/>
                <w:shd w:val="clear" w:color="auto" w:fill="FFFFFF"/>
              </w:rPr>
              <w:t>11.4%</w:t>
            </w:r>
            <w:r>
              <w:rPr>
                <w:rFonts w:ascii="宋体" w:hAnsi="宋体" w:cs="Arial" w:hint="eastAsia"/>
                <w:color w:val="333333"/>
                <w:sz w:val="18"/>
                <w:szCs w:val="18"/>
                <w:shd w:val="clear" w:color="auto" w:fill="FFFFFF"/>
              </w:rPr>
              <w:t>。房地产开发企业土地购置面积</w:t>
            </w:r>
            <w:r>
              <w:rPr>
                <w:rFonts w:ascii="宋体" w:hAnsi="宋体" w:cs="Arial" w:hint="eastAsia"/>
                <w:color w:val="333333"/>
                <w:sz w:val="18"/>
                <w:szCs w:val="18"/>
                <w:shd w:val="clear" w:color="auto" w:fill="FFFFFF"/>
              </w:rPr>
              <w:t>16733</w:t>
            </w:r>
            <w:r>
              <w:rPr>
                <w:rFonts w:ascii="宋体" w:hAnsi="宋体" w:cs="Arial" w:hint="eastAsia"/>
                <w:color w:val="333333"/>
                <w:sz w:val="18"/>
                <w:szCs w:val="18"/>
                <w:shd w:val="clear" w:color="auto" w:fill="FFFFFF"/>
              </w:rPr>
              <w:t>万平方米，同比增长</w:t>
            </w:r>
            <w:r>
              <w:rPr>
                <w:rFonts w:ascii="宋体" w:hAnsi="宋体" w:cs="Arial" w:hint="eastAsia"/>
                <w:color w:val="333333"/>
                <w:sz w:val="18"/>
                <w:szCs w:val="18"/>
                <w:shd w:val="clear" w:color="auto" w:fill="FFFFFF"/>
              </w:rPr>
              <w:t>12.2%</w:t>
            </w:r>
            <w:r>
              <w:rPr>
                <w:rFonts w:ascii="宋体" w:hAnsi="宋体" w:cs="Arial" w:hint="eastAsia"/>
                <w:color w:val="333333"/>
                <w:sz w:val="18"/>
                <w:szCs w:val="18"/>
                <w:shd w:val="clear" w:color="auto" w:fill="FFFFFF"/>
              </w:rPr>
              <w:t>。</w:t>
            </w:r>
            <w:r>
              <w:rPr>
                <w:rFonts w:ascii="宋体" w:hAnsi="宋体" w:cs="Arial" w:hint="eastAsia"/>
                <w:color w:val="333333"/>
                <w:sz w:val="18"/>
                <w:szCs w:val="18"/>
                <w:shd w:val="clear" w:color="auto" w:fill="FFFFFF"/>
              </w:rPr>
              <w:t>9</w:t>
            </w:r>
            <w:r>
              <w:rPr>
                <w:rFonts w:ascii="宋体" w:hAnsi="宋体" w:cs="Arial" w:hint="eastAsia"/>
                <w:color w:val="333333"/>
                <w:sz w:val="18"/>
                <w:szCs w:val="18"/>
                <w:shd w:val="clear" w:color="auto" w:fill="FFFFFF"/>
              </w:rPr>
              <w:t>月末，全国商品房待售面积</w:t>
            </w:r>
            <w:r>
              <w:rPr>
                <w:rFonts w:ascii="宋体" w:hAnsi="宋体" w:cs="Arial" w:hint="eastAsia"/>
                <w:color w:val="333333"/>
                <w:sz w:val="18"/>
                <w:szCs w:val="18"/>
                <w:shd w:val="clear" w:color="auto" w:fill="FFFFFF"/>
              </w:rPr>
              <w:t>61140</w:t>
            </w:r>
            <w:r>
              <w:rPr>
                <w:rFonts w:ascii="宋体" w:hAnsi="宋体" w:cs="Arial" w:hint="eastAsia"/>
                <w:color w:val="333333"/>
                <w:sz w:val="18"/>
                <w:szCs w:val="18"/>
                <w:shd w:val="clear" w:color="auto" w:fill="FFFFFF"/>
              </w:rPr>
              <w:t>万平方米，比上月末减少</w:t>
            </w:r>
            <w:r>
              <w:rPr>
                <w:rFonts w:ascii="宋体" w:hAnsi="宋体" w:cs="Arial" w:hint="eastAsia"/>
                <w:color w:val="333333"/>
                <w:sz w:val="18"/>
                <w:szCs w:val="18"/>
                <w:shd w:val="clear" w:color="auto" w:fill="FFFFFF"/>
              </w:rPr>
              <w:t>1212</w:t>
            </w:r>
            <w:r>
              <w:rPr>
                <w:rFonts w:ascii="宋体" w:hAnsi="宋体" w:cs="Arial" w:hint="eastAsia"/>
                <w:color w:val="333333"/>
                <w:sz w:val="18"/>
                <w:szCs w:val="18"/>
                <w:shd w:val="clear" w:color="auto" w:fill="FFFFFF"/>
              </w:rPr>
              <w:t>万平方米。前三季度，房地产开发企业到位资金</w:t>
            </w:r>
            <w:r>
              <w:rPr>
                <w:rFonts w:ascii="宋体" w:hAnsi="宋体" w:cs="Arial" w:hint="eastAsia"/>
                <w:color w:val="333333"/>
                <w:sz w:val="18"/>
                <w:szCs w:val="18"/>
                <w:shd w:val="clear" w:color="auto" w:fill="FFFFFF"/>
              </w:rPr>
              <w:t>113095</w:t>
            </w:r>
            <w:r>
              <w:rPr>
                <w:rFonts w:ascii="宋体" w:hAnsi="宋体" w:cs="Arial" w:hint="eastAsia"/>
                <w:color w:val="333333"/>
                <w:sz w:val="18"/>
                <w:szCs w:val="18"/>
                <w:shd w:val="clear" w:color="auto" w:fill="FFFFFF"/>
              </w:rPr>
              <w:t>亿元，同比增长</w:t>
            </w:r>
            <w:r>
              <w:rPr>
                <w:rFonts w:ascii="宋体" w:hAnsi="宋体" w:cs="Arial" w:hint="eastAsia"/>
                <w:color w:val="333333"/>
                <w:sz w:val="18"/>
                <w:szCs w:val="18"/>
                <w:shd w:val="clear" w:color="auto" w:fill="FFFFFF"/>
              </w:rPr>
              <w:t>8.0%</w:t>
            </w:r>
            <w:r>
              <w:rPr>
                <w:rFonts w:ascii="宋体" w:hAnsi="宋体" w:cs="Arial" w:hint="eastAsia"/>
                <w:color w:val="333333"/>
                <w:sz w:val="18"/>
                <w:szCs w:val="18"/>
                <w:shd w:val="clear" w:color="auto" w:fill="FFFFFF"/>
              </w:rPr>
              <w:t>。</w:t>
            </w:r>
          </w:p>
        </w:tc>
      </w:tr>
      <w:tr w:rsidR="00937CC5">
        <w:trPr>
          <w:trHeight w:val="284"/>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社会消费品零售</w:t>
            </w:r>
          </w:p>
        </w:tc>
        <w:tc>
          <w:tcPr>
            <w:tcW w:w="7393" w:type="dxa"/>
            <w:vAlign w:val="center"/>
          </w:tcPr>
          <w:p w:rsidR="00937CC5" w:rsidRDefault="007A54EB">
            <w:pPr>
              <w:rPr>
                <w:rFonts w:ascii="宋体" w:hAnsi="宋体" w:cs="Arial"/>
                <w:color w:val="333333"/>
                <w:sz w:val="18"/>
                <w:szCs w:val="18"/>
                <w:shd w:val="clear" w:color="auto" w:fill="FFFFFF"/>
              </w:rPr>
            </w:pPr>
            <w:r>
              <w:rPr>
                <w:rFonts w:ascii="宋体" w:hAnsi="宋体" w:cs="Arial" w:hint="eastAsia"/>
                <w:color w:val="333333"/>
                <w:sz w:val="18"/>
                <w:szCs w:val="18"/>
                <w:shd w:val="clear" w:color="auto" w:fill="FFFFFF"/>
              </w:rPr>
              <w:t>2017</w:t>
            </w:r>
            <w:r>
              <w:rPr>
                <w:rFonts w:ascii="宋体" w:hAnsi="宋体" w:cs="Arial" w:hint="eastAsia"/>
                <w:color w:val="333333"/>
                <w:sz w:val="18"/>
                <w:szCs w:val="18"/>
                <w:shd w:val="clear" w:color="auto" w:fill="FFFFFF"/>
              </w:rPr>
              <w:t>前三季度，社会消费品零售总额</w:t>
            </w:r>
            <w:r>
              <w:rPr>
                <w:rFonts w:ascii="宋体" w:hAnsi="宋体" w:cs="Arial" w:hint="eastAsia"/>
                <w:color w:val="333333"/>
                <w:sz w:val="18"/>
                <w:szCs w:val="18"/>
                <w:shd w:val="clear" w:color="auto" w:fill="FFFFFF"/>
              </w:rPr>
              <w:t>263178</w:t>
            </w:r>
            <w:r>
              <w:rPr>
                <w:rFonts w:ascii="宋体" w:hAnsi="宋体" w:cs="Arial" w:hint="eastAsia"/>
                <w:color w:val="333333"/>
                <w:sz w:val="18"/>
                <w:szCs w:val="18"/>
                <w:shd w:val="clear" w:color="auto" w:fill="FFFFFF"/>
              </w:rPr>
              <w:t>亿元，同比增长</w:t>
            </w:r>
            <w:r>
              <w:rPr>
                <w:rFonts w:ascii="宋体" w:hAnsi="宋体" w:cs="Arial" w:hint="eastAsia"/>
                <w:color w:val="333333"/>
                <w:sz w:val="18"/>
                <w:szCs w:val="18"/>
                <w:shd w:val="clear" w:color="auto" w:fill="FFFFFF"/>
              </w:rPr>
              <w:t>10.4%</w:t>
            </w:r>
            <w:r>
              <w:rPr>
                <w:rFonts w:ascii="宋体" w:hAnsi="宋体" w:cs="Arial" w:hint="eastAsia"/>
                <w:color w:val="333333"/>
                <w:sz w:val="18"/>
                <w:szCs w:val="18"/>
                <w:shd w:val="clear" w:color="auto" w:fill="FFFFFF"/>
              </w:rPr>
              <w:t>，增速与上年同期持平。</w:t>
            </w:r>
            <w:r>
              <w:rPr>
                <w:rFonts w:ascii="宋体" w:hAnsi="宋体" w:cs="Arial" w:hint="eastAsia"/>
                <w:color w:val="333333"/>
                <w:sz w:val="18"/>
                <w:szCs w:val="18"/>
                <w:shd w:val="clear" w:color="auto" w:fill="FFFFFF"/>
              </w:rPr>
              <w:t>9</w:t>
            </w:r>
            <w:r>
              <w:rPr>
                <w:rFonts w:ascii="宋体" w:hAnsi="宋体" w:cs="Arial" w:hint="eastAsia"/>
                <w:color w:val="333333"/>
                <w:sz w:val="18"/>
                <w:szCs w:val="18"/>
                <w:shd w:val="clear" w:color="auto" w:fill="FFFFFF"/>
              </w:rPr>
              <w:t>月份，社会消费品零售总额同比增长</w:t>
            </w:r>
            <w:r>
              <w:rPr>
                <w:rFonts w:ascii="宋体" w:hAnsi="宋体" w:cs="Arial" w:hint="eastAsia"/>
                <w:color w:val="333333"/>
                <w:sz w:val="18"/>
                <w:szCs w:val="18"/>
                <w:shd w:val="clear" w:color="auto" w:fill="FFFFFF"/>
              </w:rPr>
              <w:t>10.3%</w:t>
            </w:r>
            <w:r>
              <w:rPr>
                <w:rFonts w:ascii="宋体" w:hAnsi="宋体" w:cs="Arial" w:hint="eastAsia"/>
                <w:color w:val="333333"/>
                <w:sz w:val="18"/>
                <w:szCs w:val="18"/>
                <w:shd w:val="clear" w:color="auto" w:fill="FFFFFF"/>
              </w:rPr>
              <w:t>，比上月加快</w:t>
            </w:r>
            <w:r>
              <w:rPr>
                <w:rFonts w:ascii="宋体" w:hAnsi="宋体" w:cs="Arial" w:hint="eastAsia"/>
                <w:color w:val="333333"/>
                <w:sz w:val="18"/>
                <w:szCs w:val="18"/>
                <w:shd w:val="clear" w:color="auto" w:fill="FFFFFF"/>
              </w:rPr>
              <w:t>0.2</w:t>
            </w:r>
            <w:r>
              <w:rPr>
                <w:rFonts w:ascii="宋体" w:hAnsi="宋体" w:cs="Arial" w:hint="eastAsia"/>
                <w:color w:val="333333"/>
                <w:sz w:val="18"/>
                <w:szCs w:val="18"/>
                <w:shd w:val="clear" w:color="auto" w:fill="FFFFFF"/>
              </w:rPr>
              <w:t>个百分点，环比增长</w:t>
            </w:r>
            <w:r>
              <w:rPr>
                <w:rFonts w:ascii="宋体" w:hAnsi="宋体" w:cs="Arial" w:hint="eastAsia"/>
                <w:color w:val="333333"/>
                <w:sz w:val="18"/>
                <w:szCs w:val="18"/>
                <w:shd w:val="clear" w:color="auto" w:fill="FFFFFF"/>
              </w:rPr>
              <w:t>0.90%</w:t>
            </w:r>
            <w:r>
              <w:rPr>
                <w:rFonts w:ascii="宋体" w:hAnsi="宋体" w:cs="Arial" w:hint="eastAsia"/>
                <w:color w:val="333333"/>
                <w:sz w:val="18"/>
                <w:szCs w:val="18"/>
                <w:shd w:val="clear" w:color="auto" w:fill="FFFFFF"/>
              </w:rPr>
              <w:t>。前三季度，全国网上零售额</w:t>
            </w:r>
            <w:r>
              <w:rPr>
                <w:rFonts w:ascii="宋体" w:hAnsi="宋体" w:cs="Arial" w:hint="eastAsia"/>
                <w:color w:val="333333"/>
                <w:sz w:val="18"/>
                <w:szCs w:val="18"/>
                <w:shd w:val="clear" w:color="auto" w:fill="FFFFFF"/>
              </w:rPr>
              <w:t>48787</w:t>
            </w:r>
            <w:r>
              <w:rPr>
                <w:rFonts w:ascii="宋体" w:hAnsi="宋体" w:cs="Arial" w:hint="eastAsia"/>
                <w:color w:val="333333"/>
                <w:sz w:val="18"/>
                <w:szCs w:val="18"/>
                <w:shd w:val="clear" w:color="auto" w:fill="FFFFFF"/>
              </w:rPr>
              <w:t>亿元，同比增长</w:t>
            </w:r>
            <w:r>
              <w:rPr>
                <w:rFonts w:ascii="宋体" w:hAnsi="宋体" w:cs="Arial" w:hint="eastAsia"/>
                <w:color w:val="333333"/>
                <w:sz w:val="18"/>
                <w:szCs w:val="18"/>
                <w:shd w:val="clear" w:color="auto" w:fill="FFFFFF"/>
              </w:rPr>
              <w:t>34.2%</w:t>
            </w:r>
            <w:r>
              <w:rPr>
                <w:rFonts w:ascii="宋体" w:hAnsi="宋体" w:cs="Arial" w:hint="eastAsia"/>
                <w:color w:val="333333"/>
                <w:sz w:val="18"/>
                <w:szCs w:val="18"/>
                <w:shd w:val="clear" w:color="auto" w:fill="FFFFFF"/>
              </w:rPr>
              <w:t>，比上年同期加快</w:t>
            </w:r>
            <w:r>
              <w:rPr>
                <w:rFonts w:ascii="宋体" w:hAnsi="宋体" w:cs="Arial" w:hint="eastAsia"/>
                <w:color w:val="333333"/>
                <w:sz w:val="18"/>
                <w:szCs w:val="18"/>
                <w:shd w:val="clear" w:color="auto" w:fill="FFFFFF"/>
              </w:rPr>
              <w:t>8.1</w:t>
            </w:r>
            <w:r>
              <w:rPr>
                <w:rFonts w:ascii="宋体" w:hAnsi="宋体" w:cs="Arial" w:hint="eastAsia"/>
                <w:color w:val="333333"/>
                <w:sz w:val="18"/>
                <w:szCs w:val="18"/>
                <w:shd w:val="clear" w:color="auto" w:fill="FFFFFF"/>
              </w:rPr>
              <w:t>个百分点。其中，实物商品网上零售额</w:t>
            </w:r>
            <w:r>
              <w:rPr>
                <w:rFonts w:ascii="宋体" w:hAnsi="宋体" w:cs="Arial" w:hint="eastAsia"/>
                <w:color w:val="333333"/>
                <w:sz w:val="18"/>
                <w:szCs w:val="18"/>
                <w:shd w:val="clear" w:color="auto" w:fill="FFFFFF"/>
              </w:rPr>
              <w:t>36826</w:t>
            </w:r>
            <w:r>
              <w:rPr>
                <w:rFonts w:ascii="宋体" w:hAnsi="宋体" w:cs="Arial" w:hint="eastAsia"/>
                <w:color w:val="333333"/>
                <w:sz w:val="18"/>
                <w:szCs w:val="18"/>
                <w:shd w:val="clear" w:color="auto" w:fill="FFFFFF"/>
              </w:rPr>
              <w:t>亿元，增长</w:t>
            </w:r>
            <w:r>
              <w:rPr>
                <w:rFonts w:ascii="宋体" w:hAnsi="宋体" w:cs="Arial" w:hint="eastAsia"/>
                <w:color w:val="333333"/>
                <w:sz w:val="18"/>
                <w:szCs w:val="18"/>
                <w:shd w:val="clear" w:color="auto" w:fill="FFFFFF"/>
              </w:rPr>
              <w:t>29.1%</w:t>
            </w:r>
            <w:r>
              <w:rPr>
                <w:rFonts w:ascii="宋体" w:hAnsi="宋体" w:cs="Arial" w:hint="eastAsia"/>
                <w:color w:val="333333"/>
                <w:sz w:val="18"/>
                <w:szCs w:val="18"/>
                <w:shd w:val="clear" w:color="auto" w:fill="FFFFFF"/>
              </w:rPr>
              <w:t>，占社会消费品零售总额的比重为</w:t>
            </w:r>
            <w:r>
              <w:rPr>
                <w:rFonts w:ascii="宋体" w:hAnsi="宋体" w:cs="Arial" w:hint="eastAsia"/>
                <w:color w:val="333333"/>
                <w:sz w:val="18"/>
                <w:szCs w:val="18"/>
                <w:shd w:val="clear" w:color="auto" w:fill="FFFFFF"/>
              </w:rPr>
              <w:t>14.0%</w:t>
            </w:r>
            <w:r>
              <w:rPr>
                <w:rFonts w:ascii="宋体" w:hAnsi="宋体" w:cs="Arial" w:hint="eastAsia"/>
                <w:color w:val="333333"/>
                <w:sz w:val="18"/>
                <w:szCs w:val="18"/>
                <w:shd w:val="clear" w:color="auto" w:fill="FFFFFF"/>
              </w:rPr>
              <w:t>，同比提高</w:t>
            </w:r>
            <w:r>
              <w:rPr>
                <w:rFonts w:ascii="宋体" w:hAnsi="宋体" w:cs="Arial" w:hint="eastAsia"/>
                <w:color w:val="333333"/>
                <w:sz w:val="18"/>
                <w:szCs w:val="18"/>
                <w:shd w:val="clear" w:color="auto" w:fill="FFFFFF"/>
              </w:rPr>
              <w:t>2.3</w:t>
            </w:r>
            <w:r>
              <w:rPr>
                <w:rFonts w:ascii="宋体" w:hAnsi="宋体" w:cs="Arial" w:hint="eastAsia"/>
                <w:color w:val="333333"/>
                <w:sz w:val="18"/>
                <w:szCs w:val="18"/>
                <w:shd w:val="clear" w:color="auto" w:fill="FFFFFF"/>
              </w:rPr>
              <w:t>个百分点；非实物商品网上零售额</w:t>
            </w:r>
            <w:r>
              <w:rPr>
                <w:rFonts w:ascii="宋体" w:hAnsi="宋体" w:cs="Arial" w:hint="eastAsia"/>
                <w:color w:val="333333"/>
                <w:sz w:val="18"/>
                <w:szCs w:val="18"/>
                <w:shd w:val="clear" w:color="auto" w:fill="FFFFFF"/>
              </w:rPr>
              <w:t>11961</w:t>
            </w:r>
            <w:r>
              <w:rPr>
                <w:rFonts w:ascii="宋体" w:hAnsi="宋体" w:cs="Arial" w:hint="eastAsia"/>
                <w:color w:val="333333"/>
                <w:sz w:val="18"/>
                <w:szCs w:val="18"/>
                <w:shd w:val="clear" w:color="auto" w:fill="FFFFFF"/>
              </w:rPr>
              <w:t>亿元，增长</w:t>
            </w:r>
            <w:r>
              <w:rPr>
                <w:rFonts w:ascii="宋体" w:hAnsi="宋体" w:cs="Arial" w:hint="eastAsia"/>
                <w:color w:val="333333"/>
                <w:sz w:val="18"/>
                <w:szCs w:val="18"/>
                <w:shd w:val="clear" w:color="auto" w:fill="FFFFFF"/>
              </w:rPr>
              <w:t>52.8%</w:t>
            </w:r>
            <w:r>
              <w:rPr>
                <w:rFonts w:ascii="宋体" w:hAnsi="宋体" w:cs="Arial" w:hint="eastAsia"/>
                <w:color w:val="333333"/>
                <w:sz w:val="18"/>
                <w:szCs w:val="18"/>
                <w:shd w:val="clear" w:color="auto" w:fill="FFFFFF"/>
              </w:rPr>
              <w:t>。</w:t>
            </w:r>
          </w:p>
        </w:tc>
      </w:tr>
      <w:tr w:rsidR="00937CC5">
        <w:trPr>
          <w:trHeight w:val="930"/>
        </w:trPr>
        <w:tc>
          <w:tcPr>
            <w:tcW w:w="1135" w:type="dxa"/>
            <w:vAlign w:val="center"/>
          </w:tcPr>
          <w:p w:rsidR="00937CC5" w:rsidRDefault="007A54EB">
            <w:pPr>
              <w:spacing w:beforeLines="40" w:before="124" w:afterLines="40" w:after="124"/>
              <w:jc w:val="center"/>
              <w:rPr>
                <w:rFonts w:ascii="宋体" w:hAnsi="宋体"/>
                <w:b/>
                <w:sz w:val="18"/>
                <w:szCs w:val="18"/>
              </w:rPr>
            </w:pPr>
            <w:r>
              <w:rPr>
                <w:rFonts w:ascii="宋体" w:hAnsi="宋体" w:hint="eastAsia"/>
                <w:b/>
                <w:sz w:val="18"/>
                <w:szCs w:val="18"/>
              </w:rPr>
              <w:t>财政</w:t>
            </w:r>
          </w:p>
        </w:tc>
        <w:tc>
          <w:tcPr>
            <w:tcW w:w="7393" w:type="dxa"/>
            <w:vAlign w:val="center"/>
          </w:tcPr>
          <w:p w:rsidR="00937CC5" w:rsidRDefault="007A54EB">
            <w:pPr>
              <w:rPr>
                <w:rFonts w:ascii="宋体" w:hAnsi="宋体" w:cs="Arial"/>
                <w:color w:val="333333"/>
                <w:sz w:val="18"/>
                <w:szCs w:val="18"/>
                <w:shd w:val="clear" w:color="auto" w:fill="FFFFFF"/>
              </w:rPr>
            </w:pPr>
            <w:r>
              <w:rPr>
                <w:rFonts w:hint="eastAsia"/>
                <w:color w:val="3F3F3F"/>
                <w:sz w:val="18"/>
                <w:szCs w:val="18"/>
              </w:rPr>
              <w:t>2017</w:t>
            </w:r>
            <w:r>
              <w:rPr>
                <w:rFonts w:hint="eastAsia"/>
                <w:color w:val="3F3F3F"/>
                <w:sz w:val="18"/>
                <w:szCs w:val="18"/>
              </w:rPr>
              <w:t>年</w:t>
            </w:r>
            <w:r>
              <w:rPr>
                <w:rFonts w:hint="eastAsia"/>
                <w:color w:val="3F3F3F"/>
                <w:sz w:val="18"/>
                <w:szCs w:val="18"/>
              </w:rPr>
              <w:t>9</w:t>
            </w:r>
            <w:r>
              <w:rPr>
                <w:rFonts w:hint="eastAsia"/>
                <w:color w:val="3F3F3F"/>
                <w:sz w:val="18"/>
                <w:szCs w:val="18"/>
              </w:rPr>
              <w:t>月，全国一般公共预算收入</w:t>
            </w:r>
            <w:r>
              <w:rPr>
                <w:rFonts w:hint="eastAsia"/>
                <w:color w:val="3F3F3F"/>
                <w:sz w:val="18"/>
                <w:szCs w:val="18"/>
              </w:rPr>
              <w:t>12714</w:t>
            </w:r>
            <w:r>
              <w:rPr>
                <w:rFonts w:hint="eastAsia"/>
                <w:color w:val="3F3F3F"/>
                <w:sz w:val="18"/>
                <w:szCs w:val="18"/>
              </w:rPr>
              <w:t>亿元，同比增长</w:t>
            </w:r>
            <w:r>
              <w:rPr>
                <w:rFonts w:hint="eastAsia"/>
                <w:color w:val="3F3F3F"/>
                <w:sz w:val="18"/>
                <w:szCs w:val="18"/>
              </w:rPr>
              <w:t>9.2%</w:t>
            </w:r>
            <w:r>
              <w:rPr>
                <w:rFonts w:hint="eastAsia"/>
                <w:color w:val="3F3F3F"/>
                <w:sz w:val="18"/>
                <w:szCs w:val="18"/>
              </w:rPr>
              <w:t>。其中，中央一般公共预算收入</w:t>
            </w:r>
            <w:r>
              <w:rPr>
                <w:rFonts w:hint="eastAsia"/>
                <w:color w:val="3F3F3F"/>
                <w:sz w:val="18"/>
                <w:szCs w:val="18"/>
              </w:rPr>
              <w:t>5866</w:t>
            </w:r>
            <w:r>
              <w:rPr>
                <w:rFonts w:hint="eastAsia"/>
                <w:color w:val="3F3F3F"/>
                <w:sz w:val="18"/>
                <w:szCs w:val="18"/>
              </w:rPr>
              <w:t>亿元，同比增长</w:t>
            </w:r>
            <w:r>
              <w:rPr>
                <w:rFonts w:hint="eastAsia"/>
                <w:color w:val="3F3F3F"/>
                <w:sz w:val="18"/>
                <w:szCs w:val="18"/>
              </w:rPr>
              <w:t>10.6%</w:t>
            </w:r>
            <w:r>
              <w:rPr>
                <w:rFonts w:hint="eastAsia"/>
                <w:color w:val="3F3F3F"/>
                <w:sz w:val="18"/>
                <w:szCs w:val="18"/>
              </w:rPr>
              <w:t>；地方一般公共预算本级收入</w:t>
            </w:r>
            <w:r>
              <w:rPr>
                <w:rFonts w:hint="eastAsia"/>
                <w:color w:val="3F3F3F"/>
                <w:sz w:val="18"/>
                <w:szCs w:val="18"/>
              </w:rPr>
              <w:t>6848</w:t>
            </w:r>
            <w:r>
              <w:rPr>
                <w:rFonts w:hint="eastAsia"/>
                <w:color w:val="3F3F3F"/>
                <w:sz w:val="18"/>
                <w:szCs w:val="18"/>
              </w:rPr>
              <w:t>亿元，同比增长</w:t>
            </w:r>
            <w:r>
              <w:rPr>
                <w:rFonts w:hint="eastAsia"/>
                <w:color w:val="3F3F3F"/>
                <w:sz w:val="18"/>
                <w:szCs w:val="18"/>
              </w:rPr>
              <w:t>8.1%</w:t>
            </w:r>
            <w:r>
              <w:rPr>
                <w:rFonts w:hint="eastAsia"/>
                <w:color w:val="3F3F3F"/>
                <w:sz w:val="18"/>
                <w:szCs w:val="18"/>
              </w:rPr>
              <w:t>。</w:t>
            </w:r>
          </w:p>
        </w:tc>
      </w:tr>
    </w:tbl>
    <w:p w:rsidR="00106510" w:rsidRDefault="007A54EB" w:rsidP="00714B09">
      <w:pPr>
        <w:pStyle w:val="1"/>
        <w:rPr>
          <w:rFonts w:hint="eastAsia"/>
        </w:rPr>
      </w:pPr>
      <w:bookmarkStart w:id="3" w:name="_Toc494020656"/>
      <w:r>
        <w:rPr>
          <w:rFonts w:hint="eastAsia"/>
        </w:rPr>
        <w:lastRenderedPageBreak/>
        <w:t>二、一周要闻回顾</w:t>
      </w:r>
      <w:bookmarkEnd w:id="3"/>
    </w:p>
    <w:p w:rsidR="00106510" w:rsidRDefault="00106510" w:rsidP="00106510">
      <w:r>
        <w:rPr>
          <w:rFonts w:hint="eastAsia"/>
        </w:rPr>
        <w:t>【加泰罗尼亚议会宣布独立</w:t>
      </w:r>
      <w:r>
        <w:rPr>
          <w:rFonts w:hint="eastAsia"/>
        </w:rPr>
        <w:t xml:space="preserve"> </w:t>
      </w:r>
      <w:r>
        <w:rPr>
          <w:rFonts w:hint="eastAsia"/>
        </w:rPr>
        <w:t>西班牙股市大跌】加泰罗尼亚地方议会宣布以</w:t>
      </w:r>
      <w:r>
        <w:rPr>
          <w:rFonts w:hint="eastAsia"/>
        </w:rPr>
        <w:t>70</w:t>
      </w:r>
      <w:r>
        <w:rPr>
          <w:rFonts w:hint="eastAsia"/>
        </w:rPr>
        <w:t>票支持、</w:t>
      </w:r>
      <w:r>
        <w:rPr>
          <w:rFonts w:hint="eastAsia"/>
        </w:rPr>
        <w:t>10</w:t>
      </w:r>
      <w:r>
        <w:rPr>
          <w:rFonts w:hint="eastAsia"/>
        </w:rPr>
        <w:t>票反对、</w:t>
      </w:r>
      <w:r>
        <w:rPr>
          <w:rFonts w:hint="eastAsia"/>
        </w:rPr>
        <w:t>2</w:t>
      </w:r>
      <w:r>
        <w:rPr>
          <w:rFonts w:hint="eastAsia"/>
        </w:rPr>
        <w:t>票弃权通过独立决议；西班牙</w:t>
      </w:r>
      <w:r>
        <w:rPr>
          <w:rFonts w:hint="eastAsia"/>
        </w:rPr>
        <w:t>IBEX</w:t>
      </w:r>
      <w:r>
        <w:rPr>
          <w:rFonts w:hint="eastAsia"/>
        </w:rPr>
        <w:t>指数跌</w:t>
      </w:r>
      <w:r>
        <w:rPr>
          <w:rFonts w:hint="eastAsia"/>
        </w:rPr>
        <w:t>1.5%</w:t>
      </w:r>
      <w:r>
        <w:rPr>
          <w:rFonts w:hint="eastAsia"/>
        </w:rPr>
        <w:t>；欧元</w:t>
      </w:r>
      <w:r>
        <w:rPr>
          <w:rFonts w:hint="eastAsia"/>
        </w:rPr>
        <w:t>/</w:t>
      </w:r>
      <w:r>
        <w:rPr>
          <w:rFonts w:hint="eastAsia"/>
        </w:rPr>
        <w:t>美元跌幅扩大至</w:t>
      </w:r>
      <w:r>
        <w:rPr>
          <w:rFonts w:hint="eastAsia"/>
        </w:rPr>
        <w:t>0.5%</w:t>
      </w:r>
      <w:r>
        <w:rPr>
          <w:rFonts w:hint="eastAsia"/>
        </w:rPr>
        <w:t>，报</w:t>
      </w:r>
      <w:r>
        <w:rPr>
          <w:rFonts w:hint="eastAsia"/>
        </w:rPr>
        <w:t>1.1594</w:t>
      </w:r>
      <w:r>
        <w:rPr>
          <w:rFonts w:hint="eastAsia"/>
        </w:rPr>
        <w:t>，维持在三个月低位附近。</w:t>
      </w:r>
    </w:p>
    <w:p w:rsidR="00714B09" w:rsidRDefault="00714B09" w:rsidP="00106510"/>
    <w:p w:rsidR="00714B09" w:rsidRPr="00714B09" w:rsidRDefault="00714B09" w:rsidP="00106510">
      <w:pPr>
        <w:rPr>
          <w:rFonts w:hint="eastAsia"/>
        </w:rPr>
      </w:pPr>
      <w:r>
        <w:rPr>
          <w:rFonts w:hint="eastAsia"/>
        </w:rPr>
        <w:t>【外商投资法已列入全国人大立法日程，将对外资企业保护</w:t>
      </w:r>
      <w:proofErr w:type="gramStart"/>
      <w:r>
        <w:rPr>
          <w:rFonts w:hint="eastAsia"/>
        </w:rPr>
        <w:t>作出</w:t>
      </w:r>
      <w:proofErr w:type="gramEnd"/>
      <w:r>
        <w:rPr>
          <w:rFonts w:hint="eastAsia"/>
        </w:rPr>
        <w:t>明确规范】全国人大财经委副主任彭森在第</w:t>
      </w:r>
      <w:r>
        <w:rPr>
          <w:rFonts w:hint="eastAsia"/>
        </w:rPr>
        <w:t>83</w:t>
      </w:r>
      <w:r>
        <w:rPr>
          <w:rFonts w:hint="eastAsia"/>
        </w:rPr>
        <w:t>届中国改革国际论坛上表示：外商投资法将不再把外资企业的组织形式作为规范对象；外资企业的投资形式进一步放开，放大到并购、收购；将对外资企业的保护</w:t>
      </w:r>
      <w:proofErr w:type="gramStart"/>
      <w:r>
        <w:rPr>
          <w:rFonts w:hint="eastAsia"/>
        </w:rPr>
        <w:t>作出</w:t>
      </w:r>
      <w:proofErr w:type="gramEnd"/>
      <w:r>
        <w:rPr>
          <w:rFonts w:hint="eastAsia"/>
        </w:rPr>
        <w:t>明确规范，特别是知识产权、出资、利润收益的自由汇出这方面的权利；将建立正式的国家安全审查制度。</w:t>
      </w:r>
    </w:p>
    <w:p w:rsidR="00106510" w:rsidRDefault="00106510"/>
    <w:p w:rsidR="00106510" w:rsidRDefault="00106510" w:rsidP="00106510">
      <w:pPr>
        <w:rPr>
          <w:rFonts w:hint="eastAsia"/>
        </w:rPr>
      </w:pPr>
      <w:proofErr w:type="gramStart"/>
      <w:r>
        <w:rPr>
          <w:rFonts w:hint="eastAsia"/>
        </w:rPr>
        <w:t>【发改委：立即组织开展煤炭市场价格巡查，严厉打击煤炭行业哄抬价格和价格垄断行为】发改委</w:t>
      </w:r>
      <w:proofErr w:type="gramEnd"/>
      <w:r>
        <w:rPr>
          <w:rFonts w:hint="eastAsia"/>
        </w:rPr>
        <w:t>办公厅发布《关于做好迎峰度冬期间煤炭市场价格监管的通知》称，各地尤其是煤炭主产区、主要煤炭港口所在地要立即行动，组织部</w:t>
      </w:r>
      <w:proofErr w:type="gramStart"/>
      <w:r>
        <w:rPr>
          <w:rFonts w:hint="eastAsia"/>
        </w:rPr>
        <w:t>署检查</w:t>
      </w:r>
      <w:proofErr w:type="gramEnd"/>
      <w:r>
        <w:rPr>
          <w:rFonts w:hint="eastAsia"/>
        </w:rPr>
        <w:t>力量深入开展煤炭市场价格巡查。</w:t>
      </w:r>
      <w:proofErr w:type="gramStart"/>
      <w:r>
        <w:rPr>
          <w:rFonts w:hint="eastAsia"/>
        </w:rPr>
        <w:t>国家发改委</w:t>
      </w:r>
      <w:proofErr w:type="gramEnd"/>
      <w:r>
        <w:rPr>
          <w:rFonts w:hint="eastAsia"/>
        </w:rPr>
        <w:t>将对重点地区检查工作进行督查，并派出检查组，对重点地区和重点企业进行直接检查。</w:t>
      </w:r>
    </w:p>
    <w:p w:rsidR="00106510" w:rsidRDefault="00106510"/>
    <w:p w:rsidR="00937CC5" w:rsidRDefault="00106510" w:rsidP="00106510">
      <w:r>
        <w:rPr>
          <w:rFonts w:hint="eastAsia"/>
        </w:rPr>
        <w:t>【美联储完成首个月的资产负债表缩减】美国财政部</w:t>
      </w:r>
      <w:r>
        <w:rPr>
          <w:rFonts w:hint="eastAsia"/>
        </w:rPr>
        <w:t>10</w:t>
      </w:r>
      <w:r>
        <w:rPr>
          <w:rFonts w:hint="eastAsia"/>
        </w:rPr>
        <w:t>月</w:t>
      </w:r>
      <w:r>
        <w:rPr>
          <w:rFonts w:hint="eastAsia"/>
        </w:rPr>
        <w:t>26</w:t>
      </w:r>
      <w:r>
        <w:rPr>
          <w:rFonts w:hint="eastAsia"/>
        </w:rPr>
        <w:t>日</w:t>
      </w:r>
      <w:r>
        <w:rPr>
          <w:rFonts w:hint="eastAsia"/>
        </w:rPr>
        <w:t>完成七年期国债发行，标志着美联储完成了首月的资产负债表缩减任务。</w:t>
      </w:r>
      <w:proofErr w:type="gramStart"/>
      <w:r>
        <w:rPr>
          <w:rFonts w:hint="eastAsia"/>
        </w:rPr>
        <w:t>根据缩表政策</w:t>
      </w:r>
      <w:proofErr w:type="gramEnd"/>
      <w:r>
        <w:rPr>
          <w:rFonts w:hint="eastAsia"/>
        </w:rPr>
        <w:t>，美联储让其所持有的</w:t>
      </w:r>
      <w:r>
        <w:rPr>
          <w:rFonts w:hint="eastAsia"/>
        </w:rPr>
        <w:t>60</w:t>
      </w:r>
      <w:r>
        <w:rPr>
          <w:rFonts w:hint="eastAsia"/>
        </w:rPr>
        <w:t>亿美元美国国债在</w:t>
      </w:r>
      <w:r>
        <w:rPr>
          <w:rFonts w:hint="eastAsia"/>
        </w:rPr>
        <w:t>10</w:t>
      </w:r>
      <w:r>
        <w:rPr>
          <w:rFonts w:hint="eastAsia"/>
        </w:rPr>
        <w:t>月、</w:t>
      </w:r>
      <w:r>
        <w:rPr>
          <w:rFonts w:hint="eastAsia"/>
        </w:rPr>
        <w:t>11</w:t>
      </w:r>
      <w:r>
        <w:rPr>
          <w:rFonts w:hint="eastAsia"/>
        </w:rPr>
        <w:t>月和</w:t>
      </w:r>
      <w:r>
        <w:rPr>
          <w:rFonts w:hint="eastAsia"/>
        </w:rPr>
        <w:t>12</w:t>
      </w:r>
      <w:r>
        <w:rPr>
          <w:rFonts w:hint="eastAsia"/>
        </w:rPr>
        <w:t>月自然到期，并将剩余资金用于再投资。美联储</w:t>
      </w:r>
      <w:r>
        <w:rPr>
          <w:rFonts w:hint="eastAsia"/>
        </w:rPr>
        <w:t>SOMA</w:t>
      </w:r>
      <w:r>
        <w:rPr>
          <w:rFonts w:hint="eastAsia"/>
        </w:rPr>
        <w:t>投资组合有</w:t>
      </w:r>
      <w:r>
        <w:rPr>
          <w:rFonts w:hint="eastAsia"/>
        </w:rPr>
        <w:t>87.01</w:t>
      </w:r>
      <w:r>
        <w:rPr>
          <w:rFonts w:hint="eastAsia"/>
        </w:rPr>
        <w:t>亿美元的国债于</w:t>
      </w:r>
      <w:r>
        <w:rPr>
          <w:rFonts w:hint="eastAsia"/>
        </w:rPr>
        <w:t>10</w:t>
      </w:r>
      <w:r>
        <w:rPr>
          <w:rFonts w:hint="eastAsia"/>
        </w:rPr>
        <w:t>月</w:t>
      </w:r>
      <w:r>
        <w:rPr>
          <w:rFonts w:hint="eastAsia"/>
        </w:rPr>
        <w:t>31</w:t>
      </w:r>
      <w:r>
        <w:rPr>
          <w:rFonts w:hint="eastAsia"/>
        </w:rPr>
        <w:t>日到期，其中包括</w:t>
      </w:r>
      <w:r>
        <w:rPr>
          <w:rFonts w:hint="eastAsia"/>
        </w:rPr>
        <w:t>52.8</w:t>
      </w:r>
      <w:r>
        <w:rPr>
          <w:rFonts w:hint="eastAsia"/>
        </w:rPr>
        <w:t>亿美元的</w:t>
      </w:r>
      <w:r>
        <w:rPr>
          <w:rFonts w:hint="eastAsia"/>
        </w:rPr>
        <w:t>5</w:t>
      </w:r>
      <w:r>
        <w:rPr>
          <w:rFonts w:hint="eastAsia"/>
        </w:rPr>
        <w:t>年期债券和</w:t>
      </w:r>
      <w:r>
        <w:rPr>
          <w:rFonts w:hint="eastAsia"/>
        </w:rPr>
        <w:t>34.21</w:t>
      </w:r>
      <w:r>
        <w:rPr>
          <w:rFonts w:hint="eastAsia"/>
        </w:rPr>
        <w:t>亿美元的</w:t>
      </w:r>
      <w:r>
        <w:rPr>
          <w:rFonts w:hint="eastAsia"/>
        </w:rPr>
        <w:t>7</w:t>
      </w:r>
      <w:r>
        <w:rPr>
          <w:rFonts w:hint="eastAsia"/>
        </w:rPr>
        <w:t>年期债券。</w:t>
      </w:r>
    </w:p>
    <w:p w:rsidR="00106510" w:rsidRDefault="00106510" w:rsidP="00106510"/>
    <w:p w:rsidR="00106510" w:rsidRDefault="00106510" w:rsidP="00106510">
      <w:pPr>
        <w:rPr>
          <w:rFonts w:hint="eastAsia"/>
        </w:rPr>
      </w:pPr>
      <w:r>
        <w:rPr>
          <w:rFonts w:hint="eastAsia"/>
        </w:rPr>
        <w:t>【商务部：正会同上海与相关部门研究自由贸易港建设方案】商务部新闻发言人高峰称，商务部正会同相关省市和部门在高标准、高水平地建设自贸试验区的基础上，围绕建立自由贸易港区积极开展工作。高峰用上海和浙江两地自贸试验区探索自由贸易港区建设举例。浙江自贸试验区制定了初步建成自由贸易港区先行区的发展目标，对接国际标准，推动以油品为核心的大宗商品的贸易自由化。</w:t>
      </w:r>
    </w:p>
    <w:p w:rsidR="00106510" w:rsidRDefault="00106510" w:rsidP="00106510"/>
    <w:p w:rsidR="00106510" w:rsidRDefault="00106510" w:rsidP="00106510">
      <w:pPr>
        <w:rPr>
          <w:rFonts w:hint="eastAsia"/>
        </w:rPr>
      </w:pPr>
      <w:r>
        <w:rPr>
          <w:rFonts w:hint="eastAsia"/>
        </w:rPr>
        <w:t>【中财办副主任杨伟民：“两步走”战略安排完整勾画我国社会主义现代化建设的时间表、路线图】十九大报告明确提出，全面建设社会主义现代化国家分“两步走”的战略安排。</w:t>
      </w:r>
      <w:r>
        <w:rPr>
          <w:rFonts w:hint="eastAsia"/>
        </w:rPr>
        <w:t xml:space="preserve"> </w:t>
      </w:r>
      <w:r>
        <w:rPr>
          <w:rFonts w:hint="eastAsia"/>
        </w:rPr>
        <w:t>“两步走”的意义在于：一是完整勾画了我国社会主义现代化建设的时间表、路线图。</w:t>
      </w:r>
      <w:r>
        <w:rPr>
          <w:rFonts w:hint="eastAsia"/>
        </w:rPr>
        <w:t xml:space="preserve"> </w:t>
      </w:r>
      <w:r>
        <w:rPr>
          <w:rFonts w:hint="eastAsia"/>
        </w:rPr>
        <w:t>二是把基本实现社会主义现代化的目标提前了</w:t>
      </w:r>
      <w:r>
        <w:rPr>
          <w:rFonts w:hint="eastAsia"/>
        </w:rPr>
        <w:t>15</w:t>
      </w:r>
      <w:r>
        <w:rPr>
          <w:rFonts w:hint="eastAsia"/>
        </w:rPr>
        <w:t>年。三是第二个百年奋斗目标的表述更加完整。四是不再提</w:t>
      </w:r>
      <w:r>
        <w:rPr>
          <w:rFonts w:hint="eastAsia"/>
        </w:rPr>
        <w:t>GDP</w:t>
      </w:r>
      <w:r>
        <w:rPr>
          <w:rFonts w:hint="eastAsia"/>
        </w:rPr>
        <w:t>翻番类目标。</w:t>
      </w:r>
    </w:p>
    <w:p w:rsidR="00937CC5" w:rsidRDefault="00937CC5" w:rsidP="00106510">
      <w:pPr>
        <w:rPr>
          <w:rFonts w:hint="eastAsia"/>
        </w:rPr>
      </w:pPr>
    </w:p>
    <w:p w:rsidR="00714B09" w:rsidRDefault="00714B09" w:rsidP="00714B09">
      <w:pPr>
        <w:rPr>
          <w:rFonts w:hint="eastAsia"/>
        </w:rPr>
      </w:pPr>
      <w:r>
        <w:rPr>
          <w:rFonts w:hint="eastAsia"/>
        </w:rPr>
        <w:t>【</w:t>
      </w:r>
      <w:r>
        <w:rPr>
          <w:rFonts w:hint="eastAsia"/>
        </w:rPr>
        <w:t>欧洲央行宣布</w:t>
      </w:r>
      <w:r>
        <w:rPr>
          <w:rFonts w:hint="eastAsia"/>
        </w:rPr>
        <w:t>明年削减</w:t>
      </w:r>
      <w:r>
        <w:rPr>
          <w:rFonts w:hint="eastAsia"/>
        </w:rPr>
        <w:t>QE</w:t>
      </w:r>
      <w:r>
        <w:rPr>
          <w:rFonts w:hint="eastAsia"/>
        </w:rPr>
        <w:t>】</w:t>
      </w:r>
      <w:bookmarkStart w:id="4" w:name="_Hlk497116397"/>
      <w:r>
        <w:rPr>
          <w:rFonts w:hint="eastAsia"/>
        </w:rPr>
        <w:t>欧洲央行宣布</w:t>
      </w:r>
      <w:bookmarkEnd w:id="4"/>
      <w:r>
        <w:rPr>
          <w:rFonts w:hint="eastAsia"/>
        </w:rPr>
        <w:t>自</w:t>
      </w:r>
      <w:r>
        <w:rPr>
          <w:rFonts w:hint="eastAsia"/>
        </w:rPr>
        <w:t>2018</w:t>
      </w:r>
      <w:r>
        <w:rPr>
          <w:rFonts w:hint="eastAsia"/>
        </w:rPr>
        <w:t>年</w:t>
      </w:r>
      <w:r>
        <w:rPr>
          <w:rFonts w:hint="eastAsia"/>
        </w:rPr>
        <w:t>1</w:t>
      </w:r>
      <w:r>
        <w:rPr>
          <w:rFonts w:hint="eastAsia"/>
        </w:rPr>
        <w:t>月起削减月度</w:t>
      </w:r>
      <w:proofErr w:type="gramStart"/>
      <w:r>
        <w:rPr>
          <w:rFonts w:hint="eastAsia"/>
        </w:rPr>
        <w:t>购债规模</w:t>
      </w:r>
      <w:proofErr w:type="gramEnd"/>
      <w:r>
        <w:rPr>
          <w:rFonts w:hint="eastAsia"/>
        </w:rPr>
        <w:t>至</w:t>
      </w:r>
      <w:r>
        <w:rPr>
          <w:rFonts w:hint="eastAsia"/>
        </w:rPr>
        <w:t>300</w:t>
      </w:r>
      <w:r>
        <w:rPr>
          <w:rFonts w:hint="eastAsia"/>
        </w:rPr>
        <w:t>亿欧元，至少持续九个月，欧元大跌。德拉吉：管委会在是否设定</w:t>
      </w:r>
      <w:r>
        <w:rPr>
          <w:rFonts w:hint="eastAsia"/>
        </w:rPr>
        <w:t>QE</w:t>
      </w:r>
      <w:r>
        <w:rPr>
          <w:rFonts w:hint="eastAsia"/>
        </w:rPr>
        <w:t>结束日期上存分歧，大多数委员支持保持</w:t>
      </w:r>
      <w:proofErr w:type="gramStart"/>
      <w:r>
        <w:rPr>
          <w:rFonts w:hint="eastAsia"/>
        </w:rPr>
        <w:t>购债计划</w:t>
      </w:r>
      <w:proofErr w:type="gramEnd"/>
      <w:r>
        <w:rPr>
          <w:rFonts w:hint="eastAsia"/>
        </w:rPr>
        <w:t>开放性。</w:t>
      </w:r>
    </w:p>
    <w:p w:rsidR="00937CC5" w:rsidRDefault="007A54EB">
      <w:pPr>
        <w:pStyle w:val="1"/>
        <w:rPr>
          <w:szCs w:val="22"/>
        </w:rPr>
      </w:pPr>
      <w:bookmarkStart w:id="5" w:name="_Toc494020657"/>
      <w:r>
        <w:rPr>
          <w:rFonts w:hint="eastAsia"/>
          <w:szCs w:val="22"/>
        </w:rPr>
        <w:lastRenderedPageBreak/>
        <w:t>三、宏观经济数据分析</w:t>
      </w:r>
      <w:bookmarkEnd w:id="5"/>
    </w:p>
    <w:p w:rsidR="00937CC5" w:rsidRDefault="007A54EB">
      <w:pPr>
        <w:pStyle w:val="2"/>
      </w:pPr>
      <w:bookmarkStart w:id="6" w:name="_Toc494020658"/>
      <w:r>
        <w:rPr>
          <w:rFonts w:hint="eastAsia"/>
        </w:rPr>
        <w:t>1</w:t>
      </w:r>
      <w:r>
        <w:rPr>
          <w:rFonts w:hint="eastAsia"/>
        </w:rPr>
        <w:t>、制造业采购经理人指数（</w:t>
      </w:r>
      <w:r>
        <w:rPr>
          <w:rFonts w:hint="eastAsia"/>
        </w:rPr>
        <w:t>PMI</w:t>
      </w:r>
      <w:r>
        <w:rPr>
          <w:rFonts w:hint="eastAsia"/>
        </w:rPr>
        <w:t>）</w:t>
      </w:r>
      <w:bookmarkEnd w:id="6"/>
    </w:p>
    <w:p w:rsidR="00937CC5" w:rsidRDefault="007A54EB">
      <w:pPr>
        <w:ind w:firstLineChars="200" w:firstLine="480"/>
        <w:rPr>
          <w:rFonts w:ascii="华文楷体" w:hAnsi="华文楷体" w:cs="Arial"/>
          <w:color w:val="000000"/>
          <w:spacing w:val="15"/>
          <w:szCs w:val="21"/>
        </w:rPr>
      </w:pPr>
      <w:bookmarkStart w:id="7" w:name="_Toc450560264"/>
      <w:r>
        <w:rPr>
          <w:rFonts w:ascii="华文楷体" w:hAnsi="华文楷体" w:cs="Arial" w:hint="eastAsia"/>
          <w:color w:val="000000"/>
          <w:spacing w:val="15"/>
          <w:szCs w:val="21"/>
        </w:rPr>
        <w:t xml:space="preserve">　</w:t>
      </w:r>
      <w:r>
        <w:rPr>
          <w:rFonts w:ascii="华文楷体" w:hAnsi="华文楷体" w:cs="Arial"/>
          <w:color w:val="000000"/>
          <w:spacing w:val="15"/>
          <w:szCs w:val="21"/>
        </w:rPr>
        <w:t>2017</w:t>
      </w:r>
      <w:r>
        <w:rPr>
          <w:rFonts w:ascii="华文楷体" w:hAnsi="华文楷体" w:cs="Arial" w:hint="eastAsia"/>
          <w:color w:val="000000"/>
          <w:spacing w:val="15"/>
          <w:szCs w:val="21"/>
        </w:rPr>
        <w:t>年</w:t>
      </w:r>
      <w:r>
        <w:rPr>
          <w:rFonts w:ascii="华文楷体" w:hAnsi="华文楷体" w:cs="Arial"/>
          <w:color w:val="000000"/>
          <w:spacing w:val="15"/>
          <w:szCs w:val="21"/>
        </w:rPr>
        <w:t>9</w:t>
      </w:r>
      <w:r>
        <w:rPr>
          <w:rFonts w:ascii="华文楷体" w:hAnsi="华文楷体" w:cs="Arial" w:hint="eastAsia"/>
          <w:color w:val="000000"/>
          <w:spacing w:val="15"/>
          <w:szCs w:val="21"/>
        </w:rPr>
        <w:t>月份，中国制造业采购经理指数（</w:t>
      </w:r>
      <w:r>
        <w:rPr>
          <w:rFonts w:ascii="华文楷体" w:hAnsi="华文楷体" w:cs="Arial"/>
          <w:color w:val="000000"/>
          <w:spacing w:val="15"/>
          <w:szCs w:val="21"/>
        </w:rPr>
        <w:t>PMI</w:t>
      </w:r>
      <w:r>
        <w:rPr>
          <w:rFonts w:ascii="华文楷体" w:hAnsi="华文楷体" w:cs="Arial" w:hint="eastAsia"/>
          <w:color w:val="000000"/>
          <w:spacing w:val="15"/>
          <w:szCs w:val="21"/>
        </w:rPr>
        <w:t>）为</w:t>
      </w:r>
      <w:r>
        <w:rPr>
          <w:rFonts w:ascii="华文楷体" w:hAnsi="华文楷体" w:cs="Arial"/>
          <w:color w:val="000000"/>
          <w:spacing w:val="15"/>
          <w:szCs w:val="21"/>
        </w:rPr>
        <w:t>52.4%</w:t>
      </w:r>
      <w:r>
        <w:rPr>
          <w:rFonts w:ascii="华文楷体" w:hAnsi="华文楷体" w:cs="Arial" w:hint="eastAsia"/>
          <w:color w:val="000000"/>
          <w:spacing w:val="15"/>
          <w:szCs w:val="21"/>
        </w:rPr>
        <w:t>，比上月上升</w:t>
      </w:r>
      <w:r>
        <w:rPr>
          <w:rFonts w:ascii="华文楷体" w:hAnsi="华文楷体" w:cs="Arial"/>
          <w:color w:val="000000"/>
          <w:spacing w:val="15"/>
          <w:szCs w:val="21"/>
        </w:rPr>
        <w:t>0.7</w:t>
      </w:r>
      <w:r>
        <w:rPr>
          <w:rFonts w:ascii="华文楷体" w:hAnsi="华文楷体" w:cs="Arial" w:hint="eastAsia"/>
          <w:color w:val="000000"/>
          <w:spacing w:val="15"/>
          <w:szCs w:val="21"/>
        </w:rPr>
        <w:t>个百分点，制造业继续保持稳中向好的发展态势，扩张步伐有所加快。</w:t>
      </w:r>
      <w:r>
        <w:rPr>
          <w:rFonts w:ascii="华文楷体" w:hAnsi="华文楷体" w:cs="Arial" w:hint="eastAsia"/>
          <w:color w:val="000000"/>
          <w:spacing w:val="15"/>
          <w:szCs w:val="21"/>
        </w:rPr>
        <w:br/>
        <w:t xml:space="preserve">　　分企业规模看，大、中型企业</w:t>
      </w:r>
      <w:r>
        <w:rPr>
          <w:rFonts w:ascii="华文楷体" w:hAnsi="华文楷体" w:cs="Arial"/>
          <w:color w:val="000000"/>
          <w:spacing w:val="15"/>
          <w:szCs w:val="21"/>
        </w:rPr>
        <w:t>PMI</w:t>
      </w:r>
      <w:r>
        <w:rPr>
          <w:rFonts w:ascii="华文楷体" w:hAnsi="华文楷体" w:cs="Arial" w:hint="eastAsia"/>
          <w:color w:val="000000"/>
          <w:spacing w:val="15"/>
          <w:szCs w:val="21"/>
        </w:rPr>
        <w:t>为</w:t>
      </w:r>
      <w:r>
        <w:rPr>
          <w:rFonts w:ascii="华文楷体" w:hAnsi="华文楷体" w:cs="Arial"/>
          <w:color w:val="000000"/>
          <w:spacing w:val="15"/>
          <w:szCs w:val="21"/>
        </w:rPr>
        <w:t>53.8%</w:t>
      </w:r>
      <w:r>
        <w:rPr>
          <w:rFonts w:ascii="华文楷体" w:hAnsi="华文楷体" w:cs="Arial" w:hint="eastAsia"/>
          <w:color w:val="000000"/>
          <w:spacing w:val="15"/>
          <w:szCs w:val="21"/>
        </w:rPr>
        <w:t>和</w:t>
      </w:r>
      <w:r>
        <w:rPr>
          <w:rFonts w:ascii="华文楷体" w:hAnsi="华文楷体" w:cs="Arial"/>
          <w:color w:val="000000"/>
          <w:spacing w:val="15"/>
          <w:szCs w:val="21"/>
        </w:rPr>
        <w:t>51.1%</w:t>
      </w:r>
      <w:r>
        <w:rPr>
          <w:rFonts w:ascii="华文楷体" w:hAnsi="华文楷体" w:cs="Arial" w:hint="eastAsia"/>
          <w:color w:val="000000"/>
          <w:spacing w:val="15"/>
          <w:szCs w:val="21"/>
        </w:rPr>
        <w:t>，分别比上月上升</w:t>
      </w:r>
      <w:r>
        <w:rPr>
          <w:rFonts w:ascii="华文楷体" w:hAnsi="华文楷体" w:cs="Arial"/>
          <w:color w:val="000000"/>
          <w:spacing w:val="15"/>
          <w:szCs w:val="21"/>
        </w:rPr>
        <w:t>1.0</w:t>
      </w:r>
      <w:r>
        <w:rPr>
          <w:rFonts w:ascii="华文楷体" w:hAnsi="华文楷体" w:cs="Arial" w:hint="eastAsia"/>
          <w:color w:val="000000"/>
          <w:spacing w:val="15"/>
          <w:szCs w:val="21"/>
        </w:rPr>
        <w:t>和</w:t>
      </w:r>
      <w:r>
        <w:rPr>
          <w:rFonts w:ascii="华文楷体" w:hAnsi="华文楷体" w:cs="Arial"/>
          <w:color w:val="000000"/>
          <w:spacing w:val="15"/>
          <w:szCs w:val="21"/>
        </w:rPr>
        <w:t>0.1</w:t>
      </w:r>
      <w:r>
        <w:rPr>
          <w:rFonts w:ascii="华文楷体" w:hAnsi="华文楷体" w:cs="Arial" w:hint="eastAsia"/>
          <w:color w:val="000000"/>
          <w:spacing w:val="15"/>
          <w:szCs w:val="21"/>
        </w:rPr>
        <w:t>个百分点，均位于扩张区间；小型企业</w:t>
      </w:r>
      <w:r>
        <w:rPr>
          <w:rFonts w:ascii="华文楷体" w:hAnsi="华文楷体" w:cs="Arial"/>
          <w:color w:val="000000"/>
          <w:spacing w:val="15"/>
          <w:szCs w:val="21"/>
        </w:rPr>
        <w:t>PMI</w:t>
      </w:r>
      <w:r>
        <w:rPr>
          <w:rFonts w:ascii="华文楷体" w:hAnsi="华文楷体" w:cs="Arial" w:hint="eastAsia"/>
          <w:color w:val="000000"/>
          <w:spacing w:val="15"/>
          <w:szCs w:val="21"/>
        </w:rPr>
        <w:t>为</w:t>
      </w:r>
      <w:r>
        <w:rPr>
          <w:rFonts w:ascii="华文楷体" w:hAnsi="华文楷体" w:cs="Arial"/>
          <w:color w:val="000000"/>
          <w:spacing w:val="15"/>
          <w:szCs w:val="21"/>
        </w:rPr>
        <w:t>49.4%</w:t>
      </w:r>
      <w:r>
        <w:rPr>
          <w:rFonts w:ascii="华文楷体" w:hAnsi="华文楷体" w:cs="Arial" w:hint="eastAsia"/>
          <w:color w:val="000000"/>
          <w:spacing w:val="15"/>
          <w:szCs w:val="21"/>
        </w:rPr>
        <w:t>，比上月回升</w:t>
      </w:r>
      <w:r>
        <w:rPr>
          <w:rFonts w:ascii="华文楷体" w:hAnsi="华文楷体" w:cs="Arial"/>
          <w:color w:val="000000"/>
          <w:spacing w:val="15"/>
          <w:szCs w:val="21"/>
        </w:rPr>
        <w:t>0.3</w:t>
      </w:r>
      <w:r>
        <w:rPr>
          <w:rFonts w:ascii="华文楷体" w:hAnsi="华文楷体" w:cs="Arial" w:hint="eastAsia"/>
          <w:color w:val="000000"/>
          <w:spacing w:val="15"/>
          <w:szCs w:val="21"/>
        </w:rPr>
        <w:t>个百分点。</w:t>
      </w:r>
    </w:p>
    <w:p w:rsidR="00937CC5" w:rsidRDefault="007A54EB">
      <w:pPr>
        <w:ind w:firstLineChars="200" w:firstLine="480"/>
        <w:rPr>
          <w:rFonts w:ascii="华文楷体" w:hAnsi="华文楷体" w:cs="Arial"/>
          <w:color w:val="000000"/>
          <w:spacing w:val="15"/>
          <w:szCs w:val="21"/>
        </w:rPr>
      </w:pPr>
      <w:r>
        <w:rPr>
          <w:rFonts w:ascii="华文楷体" w:hAnsi="华文楷体" w:cs="Arial"/>
          <w:color w:val="000000"/>
          <w:spacing w:val="15"/>
          <w:szCs w:val="21"/>
        </w:rPr>
        <w:t> </w:t>
      </w:r>
      <w:r>
        <w:rPr>
          <w:rFonts w:ascii="华文楷体" w:hAnsi="华文楷体" w:cs="Arial" w:hint="eastAsia"/>
          <w:color w:val="000000"/>
          <w:spacing w:val="15"/>
          <w:szCs w:val="21"/>
        </w:rPr>
        <w:t>从分类指数看，在构成制造业</w:t>
      </w:r>
      <w:r>
        <w:rPr>
          <w:rFonts w:ascii="华文楷体" w:hAnsi="华文楷体" w:cs="Arial"/>
          <w:color w:val="000000"/>
          <w:spacing w:val="15"/>
          <w:szCs w:val="21"/>
        </w:rPr>
        <w:t>PMI</w:t>
      </w:r>
      <w:r>
        <w:rPr>
          <w:rFonts w:ascii="华文楷体" w:hAnsi="华文楷体" w:cs="Arial" w:hint="eastAsia"/>
          <w:color w:val="000000"/>
          <w:spacing w:val="15"/>
          <w:szCs w:val="21"/>
        </w:rPr>
        <w:t>的</w:t>
      </w:r>
      <w:r>
        <w:rPr>
          <w:rFonts w:ascii="华文楷体" w:hAnsi="华文楷体" w:cs="Arial"/>
          <w:color w:val="000000"/>
          <w:spacing w:val="15"/>
          <w:szCs w:val="21"/>
        </w:rPr>
        <w:t>5</w:t>
      </w:r>
      <w:r>
        <w:rPr>
          <w:rFonts w:ascii="华文楷体" w:hAnsi="华文楷体" w:cs="Arial" w:hint="eastAsia"/>
          <w:color w:val="000000"/>
          <w:spacing w:val="15"/>
          <w:szCs w:val="21"/>
        </w:rPr>
        <w:t>个分类指数中，生产指数、新订单指数高于临界点，原材料库存指数、从业人员指数和供应商配送时间指数低于临界点。</w:t>
      </w:r>
      <w:r>
        <w:rPr>
          <w:rFonts w:ascii="华文楷体" w:hAnsi="华文楷体" w:cs="Arial"/>
          <w:color w:val="000000"/>
          <w:spacing w:val="15"/>
          <w:szCs w:val="21"/>
        </w:rPr>
        <w:t> </w:t>
      </w:r>
      <w:r>
        <w:rPr>
          <w:rFonts w:ascii="华文楷体" w:hAnsi="华文楷体" w:cs="Arial" w:hint="eastAsia"/>
          <w:color w:val="000000"/>
          <w:spacing w:val="15"/>
          <w:szCs w:val="21"/>
        </w:rPr>
        <w:t>生产指数为</w:t>
      </w:r>
      <w:r>
        <w:rPr>
          <w:rFonts w:ascii="华文楷体" w:hAnsi="华文楷体" w:cs="Arial"/>
          <w:color w:val="000000"/>
          <w:spacing w:val="15"/>
          <w:szCs w:val="21"/>
        </w:rPr>
        <w:t>54.7%</w:t>
      </w:r>
      <w:r>
        <w:rPr>
          <w:rFonts w:ascii="华文楷体" w:hAnsi="华文楷体" w:cs="Arial" w:hint="eastAsia"/>
          <w:color w:val="000000"/>
          <w:spacing w:val="15"/>
          <w:szCs w:val="21"/>
        </w:rPr>
        <w:t>，比上月上升</w:t>
      </w:r>
      <w:r>
        <w:rPr>
          <w:rFonts w:ascii="华文楷体" w:hAnsi="华文楷体" w:cs="Arial"/>
          <w:color w:val="000000"/>
          <w:spacing w:val="15"/>
          <w:szCs w:val="21"/>
        </w:rPr>
        <w:t>0.6</w:t>
      </w:r>
      <w:r>
        <w:rPr>
          <w:rFonts w:ascii="华文楷体" w:hAnsi="华文楷体" w:cs="Arial" w:hint="eastAsia"/>
          <w:color w:val="000000"/>
          <w:spacing w:val="15"/>
          <w:szCs w:val="21"/>
        </w:rPr>
        <w:t>个百分点，连续位于临界点之上，表明制造业生产继续扩张。新订单指数为</w:t>
      </w:r>
      <w:r>
        <w:rPr>
          <w:rFonts w:ascii="华文楷体" w:hAnsi="华文楷体" w:cs="Arial"/>
          <w:color w:val="000000"/>
          <w:spacing w:val="15"/>
          <w:szCs w:val="21"/>
        </w:rPr>
        <w:t>54.8%</w:t>
      </w:r>
      <w:r>
        <w:rPr>
          <w:rFonts w:ascii="华文楷体" w:hAnsi="华文楷体" w:cs="Arial" w:hint="eastAsia"/>
          <w:color w:val="000000"/>
          <w:spacing w:val="15"/>
          <w:szCs w:val="21"/>
        </w:rPr>
        <w:t>，比上月上升</w:t>
      </w:r>
      <w:r>
        <w:rPr>
          <w:rFonts w:ascii="华文楷体" w:hAnsi="华文楷体" w:cs="Arial"/>
          <w:color w:val="000000"/>
          <w:spacing w:val="15"/>
          <w:szCs w:val="21"/>
        </w:rPr>
        <w:t>1.7</w:t>
      </w:r>
      <w:r>
        <w:rPr>
          <w:rFonts w:ascii="华文楷体" w:hAnsi="华文楷体" w:cs="Arial" w:hint="eastAsia"/>
          <w:color w:val="000000"/>
          <w:spacing w:val="15"/>
          <w:szCs w:val="21"/>
        </w:rPr>
        <w:t>个百分点，位于临界点之上，表明制造业市场需求保持较快增长。原材料库存指数为</w:t>
      </w:r>
      <w:r>
        <w:rPr>
          <w:rFonts w:ascii="华文楷体" w:hAnsi="华文楷体" w:cs="Arial"/>
          <w:color w:val="000000"/>
          <w:spacing w:val="15"/>
          <w:szCs w:val="21"/>
        </w:rPr>
        <w:t>48.9%</w:t>
      </w:r>
      <w:r>
        <w:rPr>
          <w:rFonts w:ascii="华文楷体" w:hAnsi="华文楷体" w:cs="Arial" w:hint="eastAsia"/>
          <w:color w:val="000000"/>
          <w:spacing w:val="15"/>
          <w:szCs w:val="21"/>
        </w:rPr>
        <w:t>，比上月回升</w:t>
      </w:r>
      <w:r>
        <w:rPr>
          <w:rFonts w:ascii="华文楷体" w:hAnsi="华文楷体" w:cs="Arial"/>
          <w:color w:val="000000"/>
          <w:spacing w:val="15"/>
          <w:szCs w:val="21"/>
        </w:rPr>
        <w:t>0.6</w:t>
      </w:r>
      <w:r>
        <w:rPr>
          <w:rFonts w:ascii="华文楷体" w:hAnsi="华文楷体" w:cs="Arial" w:hint="eastAsia"/>
          <w:color w:val="000000"/>
          <w:spacing w:val="15"/>
          <w:szCs w:val="21"/>
        </w:rPr>
        <w:t>个百分点，低于临界点，表明制造业主要原材料库存量降幅有所收窄。从业人员指数为</w:t>
      </w:r>
      <w:r>
        <w:rPr>
          <w:rFonts w:ascii="华文楷体" w:hAnsi="华文楷体" w:cs="Arial"/>
          <w:color w:val="000000"/>
          <w:spacing w:val="15"/>
          <w:szCs w:val="21"/>
        </w:rPr>
        <w:t>49.0%</w:t>
      </w:r>
      <w:r>
        <w:rPr>
          <w:rFonts w:ascii="华文楷体" w:hAnsi="华文楷体" w:cs="Arial" w:hint="eastAsia"/>
          <w:color w:val="000000"/>
          <w:spacing w:val="15"/>
          <w:szCs w:val="21"/>
        </w:rPr>
        <w:t>，比上月微降</w:t>
      </w:r>
      <w:r>
        <w:rPr>
          <w:rFonts w:ascii="华文楷体" w:hAnsi="华文楷体" w:cs="Arial"/>
          <w:color w:val="000000"/>
          <w:spacing w:val="15"/>
          <w:szCs w:val="21"/>
        </w:rPr>
        <w:t>0.1</w:t>
      </w:r>
      <w:r>
        <w:rPr>
          <w:rFonts w:ascii="华文楷体" w:hAnsi="华文楷体" w:cs="Arial" w:hint="eastAsia"/>
          <w:color w:val="000000"/>
          <w:spacing w:val="15"/>
          <w:szCs w:val="21"/>
        </w:rPr>
        <w:t>个百分点，低于临界点，表明制造业企业用工量有所减少。供应商配送时间指数为</w:t>
      </w:r>
      <w:r>
        <w:rPr>
          <w:rFonts w:ascii="华文楷体" w:hAnsi="华文楷体" w:cs="Arial"/>
          <w:color w:val="000000"/>
          <w:spacing w:val="15"/>
          <w:szCs w:val="21"/>
        </w:rPr>
        <w:t>49.3%</w:t>
      </w:r>
      <w:r>
        <w:rPr>
          <w:rFonts w:ascii="华文楷体" w:hAnsi="华文楷体" w:cs="Arial" w:hint="eastAsia"/>
          <w:color w:val="000000"/>
          <w:spacing w:val="15"/>
          <w:szCs w:val="21"/>
        </w:rPr>
        <w:t>，与上月持平，继续位于临界点以下，表明制造业原材料供应商交货时间放慢。</w:t>
      </w:r>
    </w:p>
    <w:p w:rsidR="00937CC5" w:rsidRDefault="00937CC5">
      <w:pPr>
        <w:ind w:firstLineChars="200" w:firstLine="480"/>
        <w:rPr>
          <w:rFonts w:ascii="华文楷体" w:hAnsi="华文楷体" w:cs="Arial"/>
          <w:color w:val="000000"/>
          <w:spacing w:val="15"/>
          <w:szCs w:val="21"/>
        </w:rPr>
      </w:pPr>
    </w:p>
    <w:p w:rsidR="00937CC5" w:rsidRDefault="00937CC5">
      <w:pPr>
        <w:rPr>
          <w:rFonts w:ascii="宋体" w:eastAsia="宋体" w:hAnsi="宋体"/>
          <w:b/>
          <w:szCs w:val="21"/>
        </w:rPr>
      </w:pPr>
    </w:p>
    <w:p w:rsidR="00937CC5" w:rsidRDefault="007A54EB">
      <w:pPr>
        <w:pStyle w:val="a3"/>
        <w:jc w:val="center"/>
        <w:rPr>
          <w:rFonts w:ascii="宋体" w:eastAsia="宋体" w:hAnsi="宋体"/>
          <w:b/>
          <w:sz w:val="21"/>
          <w:szCs w:val="21"/>
        </w:rPr>
      </w:pPr>
      <w:bookmarkStart w:id="8" w:name="_Toc492279096"/>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2</w:t>
      </w:r>
      <w:r>
        <w:rPr>
          <w:rFonts w:ascii="宋体" w:eastAsia="宋体" w:hAnsi="宋体"/>
          <w:b/>
          <w:sz w:val="21"/>
          <w:szCs w:val="21"/>
        </w:rPr>
        <w:fldChar w:fldCharType="end"/>
      </w:r>
      <w:r>
        <w:rPr>
          <w:rFonts w:ascii="宋体" w:eastAsia="宋体" w:hAnsi="宋体" w:hint="eastAsia"/>
          <w:b/>
          <w:sz w:val="21"/>
          <w:szCs w:val="21"/>
        </w:rPr>
        <w:t>：全球主要地区制造业PMI指数</w:t>
      </w:r>
      <w:bookmarkEnd w:id="7"/>
      <w:bookmarkEnd w:id="8"/>
    </w:p>
    <w:p w:rsidR="00937CC5" w:rsidRDefault="0010651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197pt">
            <v:imagedata r:id="rId11" o:title=""/>
            <o:lock v:ext="edit" aspectratio="f"/>
          </v:shape>
        </w:pict>
      </w:r>
    </w:p>
    <w:p w:rsidR="00937CC5" w:rsidRDefault="007A54EB">
      <w:pPr>
        <w:jc w:val="center"/>
        <w:rPr>
          <w:rFonts w:ascii="宋体" w:eastAsia="宋体" w:hAnsi="宋体"/>
          <w:b/>
          <w:szCs w:val="21"/>
        </w:rPr>
      </w:pPr>
      <w:bookmarkStart w:id="9" w:name="_Toc492279097"/>
      <w:r>
        <w:rPr>
          <w:rFonts w:ascii="宋体" w:eastAsia="宋体" w:hAnsi="宋体" w:hint="eastAsia"/>
          <w:b/>
          <w:szCs w:val="21"/>
        </w:rPr>
        <w:t xml:space="preserve">图表 </w:t>
      </w:r>
      <w:r>
        <w:rPr>
          <w:rFonts w:ascii="宋体" w:eastAsia="宋体" w:hAnsi="宋体" w:hint="eastAsia"/>
          <w:b/>
          <w:szCs w:val="21"/>
        </w:rPr>
        <w:fldChar w:fldCharType="begin"/>
      </w:r>
      <w:r>
        <w:rPr>
          <w:rFonts w:ascii="宋体" w:eastAsia="宋体" w:hAnsi="宋体" w:hint="eastAsia"/>
          <w:b/>
          <w:szCs w:val="21"/>
        </w:rPr>
        <w:instrText xml:space="preserve"> SEQ 图表 \* ARABIC </w:instrText>
      </w:r>
      <w:r>
        <w:rPr>
          <w:rFonts w:ascii="宋体" w:eastAsia="宋体" w:hAnsi="宋体" w:hint="eastAsia"/>
          <w:b/>
          <w:szCs w:val="21"/>
        </w:rPr>
        <w:fldChar w:fldCharType="separate"/>
      </w:r>
      <w:r>
        <w:rPr>
          <w:rFonts w:ascii="宋体" w:eastAsia="宋体" w:hAnsi="宋体" w:hint="eastAsia"/>
          <w:b/>
          <w:szCs w:val="21"/>
        </w:rPr>
        <w:t>3</w:t>
      </w:r>
      <w:r>
        <w:rPr>
          <w:rFonts w:ascii="宋体" w:eastAsia="宋体" w:hAnsi="宋体" w:hint="eastAsia"/>
          <w:b/>
          <w:szCs w:val="21"/>
        </w:rPr>
        <w:fldChar w:fldCharType="end"/>
      </w:r>
      <w:r>
        <w:rPr>
          <w:rFonts w:ascii="宋体" w:eastAsia="宋体" w:hAnsi="宋体" w:hint="eastAsia"/>
          <w:b/>
          <w:szCs w:val="21"/>
        </w:rPr>
        <w:t>：中国制造业PMI和非制造业PMI分项</w:t>
      </w:r>
      <w:bookmarkEnd w:id="9"/>
    </w:p>
    <w:p w:rsidR="00937CC5" w:rsidRDefault="007A54EB">
      <w:pPr>
        <w:jc w:val="center"/>
      </w:pPr>
      <w:r>
        <w:rPr>
          <w:noProof/>
        </w:rPr>
        <w:lastRenderedPageBreak/>
        <w:drawing>
          <wp:inline distT="0" distB="0" distL="0" distR="0">
            <wp:extent cx="3961130" cy="2333625"/>
            <wp:effectExtent l="0" t="0" r="635" b="9525"/>
            <wp:docPr id="1032" name="图片 3"/>
            <wp:cNvGraphicFramePr/>
            <a:graphic xmlns:a="http://schemas.openxmlformats.org/drawingml/2006/main">
              <a:graphicData uri="http://schemas.openxmlformats.org/drawingml/2006/picture">
                <pic:pic xmlns:pic="http://schemas.openxmlformats.org/drawingml/2006/picture">
                  <pic:nvPicPr>
                    <pic:cNvPr id="1032" name="图片 3"/>
                    <pic:cNvPicPr/>
                  </pic:nvPicPr>
                  <pic:blipFill>
                    <a:blip r:embed="rId12" cstate="print"/>
                    <a:srcRect/>
                    <a:stretch>
                      <a:fillRect/>
                    </a:stretch>
                  </pic:blipFill>
                  <pic:spPr>
                    <a:xfrm>
                      <a:off x="0" y="0"/>
                      <a:ext cx="3961764" cy="2333625"/>
                    </a:xfrm>
                    <a:prstGeom prst="rect">
                      <a:avLst/>
                    </a:prstGeom>
                    <a:ln>
                      <a:noFill/>
                    </a:ln>
                  </pic:spPr>
                </pic:pic>
              </a:graphicData>
            </a:graphic>
          </wp:inline>
        </w:drawing>
      </w:r>
    </w:p>
    <w:p w:rsidR="00937CC5" w:rsidRDefault="007A54EB">
      <w:pPr>
        <w:jc w:val="center"/>
      </w:pPr>
      <w:r>
        <w:rPr>
          <w:noProof/>
        </w:rPr>
        <w:drawing>
          <wp:inline distT="0" distB="0" distL="0" distR="0">
            <wp:extent cx="3961130" cy="2324100"/>
            <wp:effectExtent l="0" t="0" r="635" b="0"/>
            <wp:docPr id="1033" name="图片 5"/>
            <wp:cNvGraphicFramePr/>
            <a:graphic xmlns:a="http://schemas.openxmlformats.org/drawingml/2006/main">
              <a:graphicData uri="http://schemas.openxmlformats.org/drawingml/2006/picture">
                <pic:pic xmlns:pic="http://schemas.openxmlformats.org/drawingml/2006/picture">
                  <pic:nvPicPr>
                    <pic:cNvPr id="1033" name="图片 5"/>
                    <pic:cNvPicPr/>
                  </pic:nvPicPr>
                  <pic:blipFill>
                    <a:blip r:embed="rId13" cstate="print"/>
                    <a:srcRect/>
                    <a:stretch>
                      <a:fillRect/>
                    </a:stretch>
                  </pic:blipFill>
                  <pic:spPr>
                    <a:xfrm>
                      <a:off x="0" y="0"/>
                      <a:ext cx="3961764" cy="2324100"/>
                    </a:xfrm>
                    <a:prstGeom prst="rect">
                      <a:avLst/>
                    </a:prstGeom>
                    <a:ln>
                      <a:noFill/>
                    </a:ln>
                  </pic:spPr>
                </pic:pic>
              </a:graphicData>
            </a:graphic>
          </wp:inline>
        </w:drawing>
      </w:r>
    </w:p>
    <w:p w:rsidR="00937CC5" w:rsidRDefault="00937CC5">
      <w:pPr>
        <w:jc w:val="center"/>
        <w:rPr>
          <w:sz w:val="18"/>
          <w:szCs w:val="18"/>
        </w:rPr>
      </w:pPr>
    </w:p>
    <w:p w:rsidR="00937CC5" w:rsidRDefault="007A54EB">
      <w:pPr>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rPr>
          <w:sz w:val="18"/>
          <w:szCs w:val="18"/>
        </w:rPr>
      </w:pPr>
    </w:p>
    <w:p w:rsidR="00937CC5" w:rsidRDefault="007A54EB">
      <w:pPr>
        <w:pStyle w:val="2"/>
        <w:rPr>
          <w:rFonts w:ascii="华文楷体" w:hAnsi="华文楷体" w:cs="Arial"/>
          <w:color w:val="222222"/>
          <w:spacing w:val="15"/>
          <w:kern w:val="0"/>
          <w:szCs w:val="21"/>
        </w:rPr>
      </w:pPr>
      <w:bookmarkStart w:id="10" w:name="_Toc494020659"/>
      <w:r>
        <w:rPr>
          <w:rFonts w:hint="eastAsia"/>
        </w:rPr>
        <w:t>2</w:t>
      </w:r>
      <w:r>
        <w:rPr>
          <w:rFonts w:hint="eastAsia"/>
        </w:rPr>
        <w:t>、全国居民消费价格</w:t>
      </w:r>
      <w:r>
        <w:rPr>
          <w:rFonts w:hint="eastAsia"/>
        </w:rPr>
        <w:t>(CPI)</w:t>
      </w:r>
      <w:r>
        <w:rPr>
          <w:rFonts w:hint="eastAsia"/>
        </w:rPr>
        <w:t>及工业品出厂价格指数（</w:t>
      </w:r>
      <w:r>
        <w:rPr>
          <w:rFonts w:hint="eastAsia"/>
        </w:rPr>
        <w:t>PPI</w:t>
      </w:r>
      <w:r>
        <w:rPr>
          <w:rFonts w:hint="eastAsia"/>
        </w:rPr>
        <w:t>）</w:t>
      </w:r>
      <w:bookmarkEnd w:id="10"/>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2017年9月份全国居民消费价格指数（CPI）和工业生产者出厂价格指数（PPI）数据显示，CPI同比上涨1.6%，环比上涨0.5%；PPI同比上涨6.9%，环比上涨1.0%。</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9月份CPI同比涨幅1.6%，比上月回落0.2个百分点。食品价格下降1.4%，降幅比上月扩大1.2个百分点，影响CPI下降约0.28个百分点。其中，猪肉价格下降12.4%，影响CPI下降约0.36个百分点。非食品价格上涨2.4%，涨幅比上月扩大0.1个百分点，影响CPI上涨约1.91个百分点。其中，医疗保健类价格上涨7.6%，居住类价格上涨2.8%，教育文化和娱乐类价格上涨2.3%。据测算，在9月份1.6%的同比涨幅中，去年价格变动的翘尾因素约为0.2个百分点，新涨价因素约为1.4个百分点。</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从环比看，CPI涨幅比上月扩大0.1个百分点。食品价格上涨0.5%，涨幅比上月回落0.7个百分点，影响CPI上涨约0.10个百分点。国庆节和中秋节临近，需求增加，鸡蛋、鸡肉和猪肉价格分别上涨6.1%、2.8%和1.0%；夏季瓜果逐渐下市，供应减少，鲜果价格上涨1.9%。上述四种食品合计影响CPI上涨约0.11个百分点。非食品价格上涨0.5%，涨幅比上月扩大0.3个百分点，影响CPI上涨</w:t>
      </w:r>
      <w:r>
        <w:rPr>
          <w:rFonts w:ascii="华文楷体" w:hAnsi="华文楷体" w:cs="Arial" w:hint="eastAsia"/>
          <w:color w:val="222222"/>
          <w:spacing w:val="15"/>
          <w:kern w:val="0"/>
          <w:szCs w:val="21"/>
        </w:rPr>
        <w:lastRenderedPageBreak/>
        <w:t>约0.44个百分点。医疗服务、教育服务和衣着类价格分别上涨2.7%、1.6%和0.9%，三项合计影响CPI上涨约0.31个百分点。</w:t>
      </w:r>
    </w:p>
    <w:p w:rsidR="00937CC5" w:rsidRDefault="007A54EB">
      <w:pPr>
        <w:pStyle w:val="a3"/>
        <w:jc w:val="center"/>
        <w:rPr>
          <w:rFonts w:ascii="宋体" w:eastAsia="宋体" w:hAnsi="宋体"/>
          <w:b/>
          <w:sz w:val="21"/>
          <w:szCs w:val="21"/>
        </w:rPr>
      </w:pPr>
      <w:bookmarkStart w:id="11" w:name="_Toc492279098"/>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4</w:t>
      </w:r>
      <w:r>
        <w:rPr>
          <w:rFonts w:ascii="宋体" w:eastAsia="宋体" w:hAnsi="宋体"/>
          <w:b/>
          <w:sz w:val="21"/>
          <w:szCs w:val="21"/>
        </w:rPr>
        <w:fldChar w:fldCharType="end"/>
      </w:r>
      <w:r>
        <w:rPr>
          <w:rFonts w:ascii="宋体" w:eastAsia="宋体" w:hAnsi="宋体" w:hint="eastAsia"/>
          <w:b/>
          <w:sz w:val="21"/>
          <w:szCs w:val="21"/>
        </w:rPr>
        <w:t>：全国居民消费价格CPI</w:t>
      </w:r>
      <w:bookmarkEnd w:id="11"/>
    </w:p>
    <w:p w:rsidR="00937CC5" w:rsidRDefault="007A54EB">
      <w:pPr>
        <w:jc w:val="center"/>
      </w:pPr>
      <w:bookmarkStart w:id="12" w:name="_GoBack"/>
      <w:r>
        <w:rPr>
          <w:noProof/>
        </w:rPr>
        <w:drawing>
          <wp:inline distT="0" distB="0" distL="114300" distR="114300">
            <wp:extent cx="4018915" cy="2305050"/>
            <wp:effectExtent l="0" t="0" r="63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4"/>
                    <a:stretch>
                      <a:fillRect/>
                    </a:stretch>
                  </pic:blipFill>
                  <pic:spPr>
                    <a:xfrm>
                      <a:off x="0" y="0"/>
                      <a:ext cx="4018915" cy="2305050"/>
                    </a:xfrm>
                    <a:prstGeom prst="rect">
                      <a:avLst/>
                    </a:prstGeom>
                    <a:noFill/>
                    <a:ln w="9525">
                      <a:noFill/>
                    </a:ln>
                  </pic:spPr>
                </pic:pic>
              </a:graphicData>
            </a:graphic>
          </wp:inline>
        </w:drawing>
      </w:r>
      <w:bookmarkEnd w:id="12"/>
    </w:p>
    <w:p w:rsidR="00937CC5" w:rsidRDefault="007A54EB">
      <w:pPr>
        <w:widowControl/>
        <w:ind w:firstLineChars="600" w:firstLine="1080"/>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ind w:firstLineChars="200" w:firstLine="480"/>
        <w:rPr>
          <w:rFonts w:ascii="华文楷体" w:hAnsi="华文楷体" w:cs="Arial"/>
          <w:color w:val="222222"/>
          <w:spacing w:val="15"/>
          <w:kern w:val="0"/>
          <w:szCs w:val="21"/>
        </w:rPr>
      </w:pP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2017年9月份，全国工业生产者出厂价格同比继续上涨6.9%，涨幅比上月扩大0.6个百分点。生产资料价格上涨9.1%，生活资料价格上涨0.7%。在主要行业中，涨幅扩大的有黑色金属冶炼和压延加工业，上涨31.5%；有色金属冶炼和压延加工业，上涨20.2%；化学原料和化学制品制造业，上涨10.0%；非金属矿物制品业，上涨9.8%。涨幅回落的有煤炭开采和洗选业、石油加工业、石油和天然气开采业，分别上涨28.6%、16.4%和14.2%。上述七大行业合计影响PPI同比上涨约5.6个百分点，占总涨幅的81.2%。据测算，在9月份6.9%的同比涨幅中，去年价格变动的翘尾因素约为4.0个百分点，新涨价因素约为2.9个百分点。</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从环比看，PPI涨幅比上月扩大0.1个百分点，主要受生产资料价格上涨影响。生产资料价格上涨1.3%，生活资料价格上涨0.1%。从主要行业看，涨幅扩大的有造纸和纸制品业、煤炭开采和洗选业、化学原料和化学制品制造业，分别上涨3.4%、2.6%和1.9%；涨幅回落的有黑色金属冶炼和压延加工业、有色金属冶炼和压延加工业、石油加工业，分别上涨3.4%、3.2%和2.9%；降幅扩大的有电力热力生产和供应业，下降0.4%。</w:t>
      </w:r>
    </w:p>
    <w:p w:rsidR="00937CC5" w:rsidRDefault="007A54EB">
      <w:pPr>
        <w:pStyle w:val="a3"/>
        <w:jc w:val="center"/>
        <w:rPr>
          <w:rFonts w:ascii="宋体" w:eastAsia="宋体" w:hAnsi="宋体"/>
          <w:b/>
          <w:sz w:val="21"/>
          <w:szCs w:val="21"/>
        </w:rPr>
      </w:pPr>
      <w:bookmarkStart w:id="13" w:name="_Toc492279099"/>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5</w:t>
      </w:r>
      <w:r>
        <w:rPr>
          <w:rFonts w:ascii="宋体" w:eastAsia="宋体" w:hAnsi="宋体"/>
          <w:b/>
          <w:sz w:val="21"/>
          <w:szCs w:val="21"/>
        </w:rPr>
        <w:fldChar w:fldCharType="end"/>
      </w:r>
      <w:r>
        <w:rPr>
          <w:rFonts w:ascii="宋体" w:eastAsia="宋体" w:hAnsi="宋体" w:hint="eastAsia"/>
          <w:b/>
          <w:sz w:val="21"/>
          <w:szCs w:val="21"/>
        </w:rPr>
        <w:t>：中国工业生产者出厂（PPI）同比/环比</w:t>
      </w:r>
      <w:bookmarkEnd w:id="13"/>
    </w:p>
    <w:p w:rsidR="00937CC5" w:rsidRDefault="007A54EB">
      <w:r>
        <w:rPr>
          <w:noProof/>
        </w:rPr>
        <w:drawing>
          <wp:inline distT="0" distB="0" distL="114300" distR="114300">
            <wp:extent cx="5273040" cy="2229485"/>
            <wp:effectExtent l="0" t="0" r="3810" b="18415"/>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pic:cNvPicPr>
                  </pic:nvPicPr>
                  <pic:blipFill>
                    <a:blip r:embed="rId15"/>
                    <a:stretch>
                      <a:fillRect/>
                    </a:stretch>
                  </pic:blipFill>
                  <pic:spPr>
                    <a:xfrm>
                      <a:off x="0" y="0"/>
                      <a:ext cx="5273040" cy="2229485"/>
                    </a:xfrm>
                    <a:prstGeom prst="rect">
                      <a:avLst/>
                    </a:prstGeom>
                    <a:noFill/>
                    <a:ln w="9525">
                      <a:noFill/>
                    </a:ln>
                  </pic:spPr>
                </pic:pic>
              </a:graphicData>
            </a:graphic>
          </wp:inline>
        </w:drawing>
      </w:r>
    </w:p>
    <w:p w:rsidR="00937CC5" w:rsidRDefault="007A54EB">
      <w:pPr>
        <w:jc w:val="left"/>
      </w:pPr>
      <w:r>
        <w:rPr>
          <w:rFonts w:hint="eastAsia"/>
          <w:sz w:val="18"/>
          <w:szCs w:val="18"/>
        </w:rPr>
        <w:lastRenderedPageBreak/>
        <w:t>数据来源：</w:t>
      </w:r>
      <w:r>
        <w:rPr>
          <w:rFonts w:hint="eastAsia"/>
          <w:sz w:val="18"/>
          <w:szCs w:val="18"/>
        </w:rPr>
        <w:t>WIND</w:t>
      </w:r>
      <w:r>
        <w:rPr>
          <w:rFonts w:hint="eastAsia"/>
          <w:sz w:val="18"/>
          <w:szCs w:val="18"/>
        </w:rPr>
        <w:t>，广州期货研究所</w:t>
      </w:r>
    </w:p>
    <w:p w:rsidR="00937CC5" w:rsidRDefault="00937CC5">
      <w:pPr>
        <w:widowControl/>
        <w:jc w:val="left"/>
        <w:rPr>
          <w:rFonts w:ascii="宋体" w:hAnsi="宋体"/>
          <w:bCs/>
          <w:szCs w:val="21"/>
        </w:rPr>
      </w:pPr>
    </w:p>
    <w:p w:rsidR="00937CC5" w:rsidRDefault="007A54EB">
      <w:pPr>
        <w:pStyle w:val="2"/>
        <w:rPr>
          <w:rFonts w:ascii="宋体" w:hAnsi="宋体"/>
          <w:bCs/>
          <w:szCs w:val="21"/>
        </w:rPr>
      </w:pPr>
      <w:bookmarkStart w:id="14" w:name="_Toc494020660"/>
      <w:r>
        <w:rPr>
          <w:rFonts w:hint="eastAsia"/>
        </w:rPr>
        <w:t>3</w:t>
      </w:r>
      <w:r>
        <w:rPr>
          <w:rFonts w:hint="eastAsia"/>
        </w:rPr>
        <w:t>、规模以上工业增加值</w:t>
      </w:r>
      <w:bookmarkEnd w:id="14"/>
    </w:p>
    <w:p w:rsidR="00937CC5" w:rsidRDefault="007A54EB">
      <w:pPr>
        <w:ind w:firstLineChars="200" w:firstLine="480"/>
        <w:rPr>
          <w:rFonts w:ascii="华文楷体" w:hAnsi="华文楷体" w:cs="Arial"/>
          <w:color w:val="222222"/>
          <w:spacing w:val="15"/>
          <w:kern w:val="0"/>
          <w:szCs w:val="21"/>
        </w:rPr>
      </w:pPr>
      <w:bookmarkStart w:id="15" w:name="_Toc450560267"/>
      <w:r>
        <w:rPr>
          <w:rFonts w:ascii="华文楷体" w:hAnsi="华文楷体" w:cs="Arial" w:hint="eastAsia"/>
          <w:color w:val="222222"/>
          <w:spacing w:val="15"/>
          <w:kern w:val="0"/>
          <w:szCs w:val="21"/>
        </w:rPr>
        <w:t>2017年9月份，规模以上工业增加值同比实际增长6.6%（以下增加值增速均为扣除价格因素的实际增长率），比8月份加快0.6个百分点。从环比看，9月份，规模以上工业增加值比上月增长0.56%。1-9月份，规模以上工业增加值同比增长6.7%。</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分三大门类看，9月份，采矿业增加值同比下降3.8%，制造业增长8.1%，电力、热力、燃气及水生产和供应业增长7.8%。</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分经济类型看，9月份，国有控股企业增加值同比增长9.0%；集体企业下降2.6%，股份制企业增长7.1%，外商及港澳台商投资企业增长8.9%。</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行业看，9月份，41个大类行业中有34个行业增加值保持同比增长。其中，农副食品加工业增长6.2%，纺织业增长4.1%，化学原料和化学制品制造业增长4.2%，非金属矿物制品业增长2.7%，黑色金属冶炼和压延加工业下降1.4%,有色金属冶炼和压延加工业下降0.9%,通用设备制造业增长10.6%，专用设备制造业增长11.3%,汽车制造业增长13.7%，铁路、船舶、航空航天和其他运输设备制造业增长7.2%，电气机械和器材制造业增长12.3%，计算机、通信和其他电子设备制造业增长16.3%，电力、热力生产和供应业增长7.3%。</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分地区看，9月份，东部地区增加值同比增长7.8%，中部地区增长7.6%，西部地区增长5.9%，东北地区增长5.2%。</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产品看，9月份，596种产品中有393种产品同比增长。其中，钢材9356万吨，同比下降1.8%；水泥22140万吨，下降2.0%；十种有色金属444万吨，下降3.1%；乙烯157万吨，增长17.4%；汽车291.8万辆，增长3.1%；轿车119.0万辆，下降0.3%；发电量5220亿千瓦时，增长5.3%；原油加工量4934万吨，增长12.7%。</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9月份，工业企业产品销售率为98.3 %，比上年同期提高0.3个百分点。工业企业实现出口交货值11906亿元，同比名义增长9.8%。</w:t>
      </w:r>
    </w:p>
    <w:p w:rsidR="00937CC5" w:rsidRDefault="007A54EB">
      <w:pPr>
        <w:jc w:val="center"/>
        <w:rPr>
          <w:rFonts w:ascii="华文楷体" w:hAnsi="华文楷体" w:cs="Arial"/>
          <w:color w:val="222222"/>
          <w:spacing w:val="15"/>
          <w:kern w:val="0"/>
          <w:szCs w:val="21"/>
        </w:rPr>
      </w:pPr>
      <w:bookmarkStart w:id="16" w:name="_Toc492279100"/>
      <w:r>
        <w:rPr>
          <w:rFonts w:ascii="宋体" w:eastAsia="宋体" w:hAnsi="宋体" w:hint="eastAsia"/>
          <w:b/>
          <w:szCs w:val="21"/>
        </w:rPr>
        <w:t>图表</w:t>
      </w:r>
      <w:r>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xml:space="preserve">SEQ </w:instrText>
      </w:r>
      <w:r>
        <w:rPr>
          <w:rFonts w:ascii="宋体" w:hAnsi="宋体" w:hint="eastAsia"/>
          <w:b/>
          <w:szCs w:val="21"/>
        </w:rPr>
        <w:instrText>图表</w:instrText>
      </w:r>
      <w:r>
        <w:rPr>
          <w:rFonts w:ascii="宋体" w:hAnsi="宋体" w:hint="eastAsia"/>
          <w:b/>
          <w:szCs w:val="21"/>
        </w:rPr>
        <w:instrText xml:space="preserve"> \* ARABIC</w:instrText>
      </w:r>
      <w:r>
        <w:rPr>
          <w:rFonts w:ascii="宋体" w:hAnsi="宋体"/>
          <w:b/>
          <w:szCs w:val="21"/>
        </w:rPr>
        <w:instrText xml:space="preserve"> </w:instrText>
      </w:r>
      <w:r>
        <w:rPr>
          <w:rFonts w:ascii="宋体" w:hAnsi="宋体"/>
          <w:b/>
          <w:szCs w:val="21"/>
        </w:rPr>
        <w:fldChar w:fldCharType="separate"/>
      </w:r>
      <w:r>
        <w:rPr>
          <w:rFonts w:ascii="宋体" w:hAnsi="宋体"/>
          <w:b/>
          <w:szCs w:val="21"/>
        </w:rPr>
        <w:t>6</w:t>
      </w:r>
      <w:r>
        <w:rPr>
          <w:rFonts w:ascii="宋体" w:hAnsi="宋体"/>
          <w:b/>
          <w:szCs w:val="21"/>
        </w:rPr>
        <w:fldChar w:fldCharType="end"/>
      </w:r>
      <w:r>
        <w:rPr>
          <w:rFonts w:ascii="宋体" w:eastAsia="宋体" w:hAnsi="宋体" w:hint="eastAsia"/>
          <w:b/>
          <w:szCs w:val="21"/>
        </w:rPr>
        <w:t>：</w:t>
      </w:r>
      <w:r>
        <w:rPr>
          <w:rFonts w:ascii="宋体" w:eastAsia="宋体" w:hAnsi="宋体" w:hint="eastAsia"/>
          <w:b/>
          <w:bCs/>
          <w:szCs w:val="21"/>
        </w:rPr>
        <w:t>规模以上工业增加值</w:t>
      </w:r>
      <w:bookmarkEnd w:id="15"/>
      <w:bookmarkEnd w:id="16"/>
    </w:p>
    <w:p w:rsidR="00937CC5" w:rsidRDefault="007A54EB">
      <w:pPr>
        <w:jc w:val="center"/>
        <w:rPr>
          <w:rFonts w:ascii="宋体" w:hAnsi="宋体"/>
          <w:szCs w:val="21"/>
        </w:rPr>
      </w:pPr>
      <w:r>
        <w:rPr>
          <w:noProof/>
        </w:rPr>
        <w:drawing>
          <wp:inline distT="0" distB="0" distL="114300" distR="114300">
            <wp:extent cx="5274310" cy="2609850"/>
            <wp:effectExtent l="0" t="0" r="2540" b="0"/>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6"/>
                    <a:stretch>
                      <a:fillRect/>
                    </a:stretch>
                  </pic:blipFill>
                  <pic:spPr>
                    <a:xfrm>
                      <a:off x="0" y="0"/>
                      <a:ext cx="5274310" cy="2609850"/>
                    </a:xfrm>
                    <a:prstGeom prst="rect">
                      <a:avLst/>
                    </a:prstGeom>
                    <a:noFill/>
                    <a:ln w="9525">
                      <a:noFill/>
                    </a:ln>
                  </pic:spPr>
                </pic:pic>
              </a:graphicData>
            </a:graphic>
          </wp:inline>
        </w:drawing>
      </w:r>
    </w:p>
    <w:p w:rsidR="00937CC5" w:rsidRDefault="007A54EB">
      <w:pPr>
        <w:rPr>
          <w:rFonts w:ascii="宋体" w:hAnsi="宋体"/>
          <w:sz w:val="18"/>
          <w:szCs w:val="18"/>
        </w:rPr>
      </w:pPr>
      <w:r>
        <w:rPr>
          <w:rFonts w:ascii="宋体" w:hAnsi="宋体" w:hint="eastAsia"/>
          <w:sz w:val="18"/>
          <w:szCs w:val="18"/>
        </w:rPr>
        <w:t>数据来源：</w:t>
      </w:r>
      <w:r>
        <w:rPr>
          <w:rFonts w:ascii="宋体" w:hAnsi="宋体" w:hint="eastAsia"/>
          <w:sz w:val="18"/>
          <w:szCs w:val="18"/>
        </w:rPr>
        <w:t>WIND</w:t>
      </w:r>
      <w:r>
        <w:rPr>
          <w:rFonts w:ascii="宋体" w:hAnsi="宋体" w:hint="eastAsia"/>
          <w:sz w:val="18"/>
          <w:szCs w:val="18"/>
        </w:rPr>
        <w:t>，广州期货研究所</w:t>
      </w:r>
    </w:p>
    <w:p w:rsidR="00937CC5" w:rsidRDefault="00937CC5">
      <w:pPr>
        <w:rPr>
          <w:rFonts w:ascii="宋体" w:hAnsi="宋体"/>
          <w:sz w:val="18"/>
          <w:szCs w:val="18"/>
        </w:rPr>
      </w:pPr>
    </w:p>
    <w:p w:rsidR="00937CC5" w:rsidRDefault="007A54EB">
      <w:pPr>
        <w:keepNext/>
        <w:keepLines/>
        <w:numPr>
          <w:ilvl w:val="0"/>
          <w:numId w:val="1"/>
        </w:numPr>
        <w:spacing w:line="413" w:lineRule="auto"/>
        <w:outlineLvl w:val="1"/>
        <w:rPr>
          <w:rFonts w:ascii="黑体" w:eastAsia="黑体" w:hAnsi="黑体"/>
          <w:sz w:val="28"/>
        </w:rPr>
      </w:pPr>
      <w:bookmarkStart w:id="17" w:name="_Toc450165438"/>
      <w:bookmarkStart w:id="18" w:name="_Toc494020661"/>
      <w:r>
        <w:rPr>
          <w:rFonts w:ascii="黑体" w:eastAsia="黑体" w:hAnsi="黑体" w:hint="eastAsia"/>
          <w:sz w:val="28"/>
        </w:rPr>
        <w:t>固定资产投资完成额</w:t>
      </w:r>
      <w:bookmarkStart w:id="19" w:name="_Toc450560268"/>
      <w:bookmarkEnd w:id="17"/>
      <w:bookmarkEnd w:id="18"/>
    </w:p>
    <w:p w:rsidR="00937CC5" w:rsidRDefault="007A54EB">
      <w:pPr>
        <w:rPr>
          <w:rFonts w:ascii="华文楷体" w:hAnsi="华文楷体" w:cs="Arial"/>
          <w:color w:val="222222"/>
          <w:spacing w:val="15"/>
          <w:kern w:val="0"/>
          <w:szCs w:val="21"/>
        </w:rPr>
      </w:pPr>
      <w:r>
        <w:rPr>
          <w:rFonts w:ascii="华文楷体" w:hAnsi="华文楷体" w:cs="Arial" w:hint="eastAsia"/>
          <w:color w:val="222222"/>
          <w:spacing w:val="15"/>
          <w:kern w:val="0"/>
          <w:szCs w:val="21"/>
        </w:rPr>
        <w:t xml:space="preserve">　 2017年1-9月份，全国固定资产投资（不含农户）458478亿元，同比增长7.5%，增速比1-8月份回落0.3个百分点。从环比速度看，9月份比8月份增长0.56%。</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分产业看，第一产业投资14973亿元，同比增长11.8%，增速比1-8月份回落0.4个百分点；第二产业投资171787亿元，增长2.6%，增速回落0.6个百分点；第三产业投资271718亿元，增长10.5%，增速回落0.1个百分点。</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第二产业中，工业投资169526亿元，同比增长3.3%，增速比1-8月份回落0.5个百分点。其中，采矿业投资6692亿元，下降9.2%，降幅扩大2.2个百分点；制造业投资140819亿元，同比增长4.2%，增速回落0.3个百分点；电力、热力、燃气及水生产和供应业投资22014亿元，增长1.7%，增速回落0.9个百分点。</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第三产业中，基础设施投资（不含电力、热力、燃气及水生产和供应业）99652亿元，同比增长19.8%，增速与1-8月份持平。其中，水利管理业投资增长16.5%，增速回落1.1个百分点；公共设施管理业投资增长23.7%，增速回落0.6个百分点；道路运输业投资增长24.9%，增速提高0.8个百分点；铁路运输业投资增长0.5%，增速回落3.7个百分点。</w:t>
      </w:r>
    </w:p>
    <w:p w:rsidR="00937CC5" w:rsidRDefault="007A54EB" w:rsidP="00714B09">
      <w:pPr>
        <w:ind w:firstLineChars="200" w:firstLine="480"/>
        <w:rPr>
          <w:rFonts w:ascii="华文楷体" w:hAnsi="华文楷体" w:cs="Arial" w:hint="eastAsia"/>
          <w:color w:val="222222"/>
          <w:spacing w:val="15"/>
          <w:kern w:val="0"/>
          <w:szCs w:val="21"/>
        </w:rPr>
      </w:pPr>
      <w:r>
        <w:rPr>
          <w:rFonts w:ascii="华文楷体" w:hAnsi="华文楷体" w:cs="Arial" w:hint="eastAsia"/>
          <w:color w:val="222222"/>
          <w:spacing w:val="15"/>
          <w:kern w:val="0"/>
          <w:szCs w:val="21"/>
        </w:rPr>
        <w:t>分地区看，东部地区投资193335亿元，同比增长8.6%，增速比1-8月份回落0.2个百分点；中部地区投资117318亿元，增长7.5%，增速回落0.2个百分点；西部地区投资122338亿元，增长9.4%，增速回落0.7个百分点；东北地区投资22324亿元，同比下降2.1%，</w:t>
      </w:r>
      <w:proofErr w:type="gramStart"/>
      <w:r>
        <w:rPr>
          <w:rFonts w:ascii="华文楷体" w:hAnsi="华文楷体" w:cs="Arial" w:hint="eastAsia"/>
          <w:color w:val="222222"/>
          <w:spacing w:val="15"/>
          <w:kern w:val="0"/>
          <w:szCs w:val="21"/>
        </w:rPr>
        <w:t>降幅收</w:t>
      </w:r>
      <w:proofErr w:type="gramEnd"/>
      <w:r>
        <w:rPr>
          <w:rFonts w:ascii="华文楷体" w:hAnsi="华文楷体" w:cs="Arial" w:hint="eastAsia"/>
          <w:color w:val="222222"/>
          <w:spacing w:val="15"/>
          <w:kern w:val="0"/>
          <w:szCs w:val="21"/>
        </w:rPr>
        <w:t>窄3.9个百分点。</w:t>
      </w:r>
    </w:p>
    <w:p w:rsidR="00937CC5" w:rsidRDefault="007A54EB">
      <w:pPr>
        <w:pStyle w:val="a3"/>
        <w:jc w:val="center"/>
        <w:rPr>
          <w:rFonts w:ascii="宋体" w:eastAsia="宋体" w:hAnsi="宋体"/>
          <w:b/>
          <w:sz w:val="21"/>
          <w:szCs w:val="21"/>
        </w:rPr>
      </w:pPr>
      <w:bookmarkStart w:id="20" w:name="_Toc492279101"/>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7</w:t>
      </w:r>
      <w:r>
        <w:rPr>
          <w:rFonts w:ascii="宋体" w:eastAsia="宋体" w:hAnsi="宋体"/>
          <w:b/>
          <w:sz w:val="21"/>
          <w:szCs w:val="21"/>
        </w:rPr>
        <w:fldChar w:fldCharType="end"/>
      </w:r>
      <w:r>
        <w:rPr>
          <w:rFonts w:ascii="宋体" w:eastAsia="宋体" w:hAnsi="宋体" w:hint="eastAsia"/>
          <w:b/>
          <w:sz w:val="21"/>
          <w:szCs w:val="21"/>
        </w:rPr>
        <w:t>：</w:t>
      </w:r>
      <w:r>
        <w:rPr>
          <w:rFonts w:ascii="宋体" w:eastAsia="宋体" w:hAnsi="宋体"/>
          <w:b/>
          <w:sz w:val="21"/>
          <w:szCs w:val="21"/>
        </w:rPr>
        <w:t xml:space="preserve"> </w:t>
      </w:r>
      <w:r>
        <w:rPr>
          <w:rFonts w:ascii="宋体" w:eastAsia="宋体" w:hAnsi="宋体" w:hint="eastAsia"/>
          <w:b/>
          <w:sz w:val="21"/>
          <w:szCs w:val="21"/>
        </w:rPr>
        <w:t>固定资产投资累计同比</w:t>
      </w:r>
      <w:bookmarkEnd w:id="19"/>
      <w:bookmarkEnd w:id="20"/>
    </w:p>
    <w:p w:rsidR="00937CC5" w:rsidRDefault="00714B09">
      <w:r>
        <w:rPr>
          <w:noProof/>
        </w:rPr>
        <w:drawing>
          <wp:inline distT="0" distB="0" distL="0" distR="0" wp14:anchorId="746D5C13">
            <wp:extent cx="5322498" cy="207602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8984" cy="2101953"/>
                    </a:xfrm>
                    <a:prstGeom prst="rect">
                      <a:avLst/>
                    </a:prstGeom>
                    <a:noFill/>
                  </pic:spPr>
                </pic:pic>
              </a:graphicData>
            </a:graphic>
          </wp:inline>
        </w:drawing>
      </w:r>
    </w:p>
    <w:p w:rsidR="00937CC5" w:rsidRDefault="00937CC5"/>
    <w:p w:rsidR="00937CC5" w:rsidRDefault="007A54EB">
      <w:pPr>
        <w:widowControl/>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widowControl/>
        <w:jc w:val="left"/>
        <w:rPr>
          <w:sz w:val="18"/>
          <w:szCs w:val="18"/>
        </w:rPr>
      </w:pPr>
    </w:p>
    <w:p w:rsidR="00937CC5" w:rsidRDefault="007A54EB">
      <w:pPr>
        <w:keepNext/>
        <w:keepLines/>
        <w:spacing w:line="413" w:lineRule="auto"/>
        <w:outlineLvl w:val="1"/>
        <w:rPr>
          <w:rFonts w:ascii="黑体" w:eastAsia="黑体" w:hAnsi="黑体"/>
          <w:sz w:val="28"/>
        </w:rPr>
      </w:pPr>
      <w:bookmarkStart w:id="21" w:name="_Toc450165439"/>
      <w:bookmarkStart w:id="22" w:name="_Toc494020662"/>
      <w:r>
        <w:rPr>
          <w:rFonts w:ascii="黑体" w:eastAsia="黑体" w:hAnsi="黑体" w:hint="eastAsia"/>
          <w:sz w:val="28"/>
        </w:rPr>
        <w:t>5、房地产开发与销售</w:t>
      </w:r>
      <w:bookmarkEnd w:id="21"/>
      <w:bookmarkEnd w:id="22"/>
    </w:p>
    <w:p w:rsidR="00937CC5" w:rsidRDefault="007A54EB">
      <w:pPr>
        <w:ind w:firstLineChars="200" w:firstLine="480"/>
        <w:rPr>
          <w:rFonts w:ascii="华文楷体" w:hAnsi="华文楷体" w:cs="Arial"/>
          <w:color w:val="222222"/>
          <w:spacing w:val="15"/>
          <w:kern w:val="0"/>
          <w:szCs w:val="21"/>
        </w:rPr>
      </w:pPr>
      <w:bookmarkStart w:id="23" w:name="_Toc450560269"/>
      <w:r>
        <w:rPr>
          <w:rFonts w:ascii="华文楷体" w:hAnsi="华文楷体" w:cs="Arial" w:hint="eastAsia"/>
          <w:color w:val="222222"/>
          <w:spacing w:val="15"/>
          <w:kern w:val="0"/>
          <w:szCs w:val="21"/>
        </w:rPr>
        <w:t>2017年1-9月份，全国房地产开发投资80644亿元，同比名义增长8.1%，增速比1-8月份提高0.2个百分点。其中，住宅投资55109亿元，增长10.4%，增速提高0.3个百分点。住宅投资占房地产开发投资的比重为68.3%。</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1-9月份，东部地区房地产开发投资42869亿元，同比增长9.0%，增速比1-8月份提高0.2个百分点；中部地区投资17169亿元，增长13.3%，增速与1-8月份持平；西部地区投资17410亿元，增长3.6%，增速回落0.4个百分点；东北地区</w:t>
      </w:r>
      <w:r>
        <w:rPr>
          <w:rFonts w:ascii="华文楷体" w:hAnsi="华文楷体" w:cs="Arial" w:hint="eastAsia"/>
          <w:color w:val="222222"/>
          <w:spacing w:val="15"/>
          <w:kern w:val="0"/>
          <w:szCs w:val="21"/>
        </w:rPr>
        <w:lastRenderedPageBreak/>
        <w:t>投资3197亿元，下降3.3%，</w:t>
      </w:r>
      <w:proofErr w:type="gramStart"/>
      <w:r>
        <w:rPr>
          <w:rFonts w:ascii="华文楷体" w:hAnsi="华文楷体" w:cs="Arial" w:hint="eastAsia"/>
          <w:color w:val="222222"/>
          <w:spacing w:val="15"/>
          <w:kern w:val="0"/>
          <w:szCs w:val="21"/>
        </w:rPr>
        <w:t>降幅收</w:t>
      </w:r>
      <w:proofErr w:type="gramEnd"/>
      <w:r>
        <w:rPr>
          <w:rFonts w:ascii="华文楷体" w:hAnsi="华文楷体" w:cs="Arial" w:hint="eastAsia"/>
          <w:color w:val="222222"/>
          <w:spacing w:val="15"/>
          <w:kern w:val="0"/>
          <w:szCs w:val="21"/>
        </w:rPr>
        <w:t>窄4.1个百分点。</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1-9月份，房地产开发企业房屋施工面积738065万平方米，同比增长3.1%，增速与1-8月份持平。其中，住宅施工面积505330万平方米，增长2.9%。房屋新开工面积131033万平方米，增长6.8%，增速回落0.8个百分点。其中，住宅新开工面积94113万平方米，增长11.1%。房屋竣工面积57694万平方米，增长1.0%，增速回落2.4个百分点。其中，住宅竣工面积41260万平方米，下降1.9%。</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1-9月份，房地产开发企业土地购置面积16733万平方米，同比增长12.2%，增速比1-8月份提高2.1个百分点；土地成交价款8149亿元，增长46.3%，增速提高3.6个百分点。</w:t>
      </w:r>
    </w:p>
    <w:p w:rsidR="00937CC5" w:rsidRDefault="00937CC5">
      <w:pPr>
        <w:ind w:firstLineChars="200" w:firstLine="480"/>
        <w:rPr>
          <w:rFonts w:ascii="华文楷体" w:hAnsi="华文楷体" w:cs="Arial"/>
          <w:color w:val="222222"/>
          <w:spacing w:val="15"/>
          <w:kern w:val="0"/>
          <w:szCs w:val="21"/>
        </w:rPr>
      </w:pPr>
    </w:p>
    <w:p w:rsidR="00937CC5" w:rsidRDefault="00937CC5">
      <w:pPr>
        <w:ind w:firstLineChars="200" w:firstLine="480"/>
        <w:rPr>
          <w:rFonts w:ascii="华文楷体" w:hAnsi="华文楷体" w:cs="Arial"/>
          <w:color w:val="222222"/>
          <w:spacing w:val="15"/>
          <w:kern w:val="0"/>
          <w:szCs w:val="21"/>
        </w:rPr>
      </w:pPr>
    </w:p>
    <w:p w:rsidR="00937CC5" w:rsidRDefault="007A54EB">
      <w:pPr>
        <w:pStyle w:val="a3"/>
        <w:jc w:val="center"/>
        <w:rPr>
          <w:rFonts w:ascii="宋体" w:eastAsia="宋体" w:hAnsi="宋体"/>
          <w:b/>
          <w:sz w:val="21"/>
          <w:szCs w:val="21"/>
        </w:rPr>
      </w:pPr>
      <w:bookmarkStart w:id="24" w:name="_Toc492279102"/>
      <w:r>
        <w:rPr>
          <w:rFonts w:ascii="宋体" w:eastAsia="宋体" w:hAnsi="宋体" w:hint="eastAsia"/>
          <w:b/>
          <w:sz w:val="21"/>
          <w:szCs w:val="21"/>
        </w:rPr>
        <w:t>图表</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8</w:t>
      </w:r>
      <w:r>
        <w:rPr>
          <w:rFonts w:ascii="宋体" w:eastAsia="宋体" w:hAnsi="宋体"/>
          <w:b/>
          <w:sz w:val="21"/>
          <w:szCs w:val="21"/>
        </w:rPr>
        <w:fldChar w:fldCharType="end"/>
      </w:r>
      <w:r>
        <w:rPr>
          <w:rFonts w:ascii="宋体" w:eastAsia="宋体" w:hAnsi="宋体" w:hint="eastAsia"/>
          <w:b/>
          <w:sz w:val="21"/>
          <w:szCs w:val="21"/>
        </w:rPr>
        <w:t>：房地产开发与销售</w:t>
      </w:r>
      <w:bookmarkEnd w:id="23"/>
      <w:bookmarkEnd w:id="24"/>
    </w:p>
    <w:p w:rsidR="00937CC5" w:rsidRDefault="00714B09">
      <w:r>
        <w:rPr>
          <w:noProof/>
        </w:rPr>
        <w:drawing>
          <wp:inline distT="0" distB="0" distL="0" distR="0" wp14:anchorId="65F8319A">
            <wp:extent cx="5242045" cy="2219859"/>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1484" cy="2228091"/>
                    </a:xfrm>
                    <a:prstGeom prst="rect">
                      <a:avLst/>
                    </a:prstGeom>
                    <a:noFill/>
                  </pic:spPr>
                </pic:pic>
              </a:graphicData>
            </a:graphic>
          </wp:inline>
        </w:drawing>
      </w:r>
    </w:p>
    <w:p w:rsidR="00937CC5" w:rsidRDefault="007A54EB">
      <w:pPr>
        <w:widowControl/>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widowControl/>
        <w:rPr>
          <w:rFonts w:ascii="宋体" w:hAnsi="宋体"/>
          <w:szCs w:val="21"/>
        </w:rPr>
      </w:pPr>
    </w:p>
    <w:p w:rsidR="00937CC5" w:rsidRDefault="007A54EB">
      <w:pPr>
        <w:pStyle w:val="2"/>
      </w:pPr>
      <w:bookmarkStart w:id="25" w:name="_Toc494020663"/>
      <w:bookmarkStart w:id="26" w:name="_Toc450165440"/>
      <w:r>
        <w:rPr>
          <w:rFonts w:hint="eastAsia"/>
        </w:rPr>
        <w:t>6</w:t>
      </w:r>
      <w:r>
        <w:rPr>
          <w:rFonts w:hint="eastAsia"/>
        </w:rPr>
        <w:t>、社会消费品零售总额</w:t>
      </w:r>
      <w:bookmarkEnd w:id="25"/>
      <w:bookmarkEnd w:id="26"/>
    </w:p>
    <w:p w:rsidR="00937CC5" w:rsidRDefault="007A54EB">
      <w:pPr>
        <w:ind w:firstLineChars="100" w:firstLine="240"/>
        <w:rPr>
          <w:rFonts w:ascii="华文楷体" w:hAnsi="华文楷体" w:cs="Arial"/>
          <w:color w:val="222222"/>
          <w:spacing w:val="15"/>
          <w:kern w:val="0"/>
          <w:szCs w:val="21"/>
        </w:rPr>
      </w:pPr>
      <w:bookmarkStart w:id="27" w:name="_Toc450560270"/>
      <w:r>
        <w:rPr>
          <w:rFonts w:ascii="华文楷体" w:hAnsi="华文楷体" w:cs="Arial" w:hint="eastAsia"/>
          <w:color w:val="222222"/>
          <w:spacing w:val="15"/>
          <w:kern w:val="0"/>
          <w:szCs w:val="21"/>
        </w:rPr>
        <w:t xml:space="preserve">　2017年9月份，社会消费品零售总额30870亿元，同比名义增长10.3%（扣除价格因素实际增长9.3%，以下除特殊说明外均为名义增长）。其中，限额以上单位消费品零售额14630亿元，增长7.8%。</w:t>
      </w:r>
    </w:p>
    <w:p w:rsidR="00937CC5" w:rsidRDefault="007A54EB">
      <w:pPr>
        <w:ind w:firstLineChars="100" w:firstLine="240"/>
        <w:rPr>
          <w:rFonts w:ascii="华文楷体" w:hAnsi="华文楷体" w:cs="Arial"/>
          <w:color w:val="222222"/>
          <w:spacing w:val="15"/>
          <w:kern w:val="0"/>
          <w:szCs w:val="21"/>
        </w:rPr>
      </w:pPr>
      <w:r>
        <w:rPr>
          <w:rFonts w:ascii="华文楷体" w:hAnsi="华文楷体" w:cs="Arial" w:hint="eastAsia"/>
          <w:color w:val="222222"/>
          <w:spacing w:val="15"/>
          <w:kern w:val="0"/>
          <w:szCs w:val="21"/>
        </w:rPr>
        <w:t xml:space="preserve">　2017年1-9月份，社会消费品零售总额263178亿元，同比增长10.4%。其中，限额以上单位消费品零售额117751亿元，增长8.5%。</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按经营单位所在地分，9月份，城镇消费品零售额26164亿元，同比增长10.1%；乡村消费品零售额4706亿元，增长11.5%。1-9月份，城镇消费品零售额225592亿元，同比增长10.1%；乡村消费品零售额37586亿元，增长12.1%。</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按消费类型分，9月份，餐饮收入3317亿元，同比增长10.2%；商品零售27553亿元，增长10.4%。1-9月份，餐饮收入28427亿元，同比增长11.0%；商品零售234751亿元，增长10.3%。</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在商品零售中，9月份，限额以上单位商品零售13774亿元，同比增长7.9%。1-9月份，限额以上单位商品零售110717亿元，同比增长8.5%。</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2017年1-9月份，全国网上零售额48787亿元，同比增长34.2%。其中，实物商品网上零售额36826亿元，增长29.1%，占社会消费品零售总额的比重为14.0%；在实物商品网上零售额中，吃、穿和用类商品分别增长29.3%、19.2%和</w:t>
      </w:r>
      <w:r>
        <w:rPr>
          <w:rFonts w:ascii="华文楷体" w:hAnsi="华文楷体" w:cs="Arial" w:hint="eastAsia"/>
          <w:color w:val="222222"/>
          <w:spacing w:val="15"/>
          <w:kern w:val="0"/>
          <w:szCs w:val="21"/>
        </w:rPr>
        <w:lastRenderedPageBreak/>
        <w:t>32.5%。</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2017年1-9月份，限额以上零售业单位中的超市、百货店、专业店和专卖店零售额同比分别增长6.2%、5.6%、10.0%和8.0%。</w:t>
      </w:r>
    </w:p>
    <w:p w:rsidR="00937CC5" w:rsidRDefault="007A54EB">
      <w:pPr>
        <w:pStyle w:val="a3"/>
        <w:jc w:val="center"/>
        <w:rPr>
          <w:rFonts w:ascii="宋体" w:eastAsia="宋体" w:hAnsi="宋体"/>
          <w:b/>
          <w:bCs/>
          <w:sz w:val="21"/>
          <w:szCs w:val="21"/>
        </w:rPr>
      </w:pPr>
      <w:bookmarkStart w:id="28" w:name="_Toc492279103"/>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9</w:t>
      </w:r>
      <w:r>
        <w:rPr>
          <w:rFonts w:ascii="宋体" w:eastAsia="宋体" w:hAnsi="宋体"/>
          <w:b/>
          <w:sz w:val="21"/>
          <w:szCs w:val="21"/>
        </w:rPr>
        <w:fldChar w:fldCharType="end"/>
      </w:r>
      <w:r>
        <w:rPr>
          <w:rFonts w:ascii="宋体" w:eastAsia="宋体" w:hAnsi="宋体" w:hint="eastAsia"/>
          <w:b/>
          <w:sz w:val="21"/>
          <w:szCs w:val="21"/>
        </w:rPr>
        <w:t>：</w:t>
      </w:r>
      <w:r>
        <w:rPr>
          <w:rFonts w:ascii="宋体" w:eastAsia="宋体" w:hAnsi="宋体" w:hint="eastAsia"/>
          <w:b/>
          <w:bCs/>
          <w:sz w:val="21"/>
          <w:szCs w:val="21"/>
        </w:rPr>
        <w:t>社会消费品零售总额及同比</w:t>
      </w:r>
      <w:bookmarkEnd w:id="27"/>
      <w:bookmarkEnd w:id="28"/>
    </w:p>
    <w:p w:rsidR="00937CC5" w:rsidRDefault="00714B09">
      <w:r>
        <w:rPr>
          <w:noProof/>
        </w:rPr>
        <w:drawing>
          <wp:inline distT="0" distB="0" distL="0" distR="0" wp14:anchorId="68A829C2">
            <wp:extent cx="5276550" cy="2234471"/>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41652" cy="2262040"/>
                    </a:xfrm>
                    <a:prstGeom prst="rect">
                      <a:avLst/>
                    </a:prstGeom>
                    <a:noFill/>
                  </pic:spPr>
                </pic:pic>
              </a:graphicData>
            </a:graphic>
          </wp:inline>
        </w:drawing>
      </w:r>
    </w:p>
    <w:p w:rsidR="00937CC5" w:rsidRDefault="007A54EB">
      <w:pPr>
        <w:rPr>
          <w:rFonts w:ascii="宋体" w:hAnsi="宋体"/>
          <w:b/>
          <w:bCs/>
          <w:szCs w:val="21"/>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rPr>
          <w:rFonts w:ascii="宋体" w:hAnsi="宋体"/>
          <w:b/>
          <w:bCs/>
          <w:szCs w:val="21"/>
        </w:rPr>
      </w:pPr>
    </w:p>
    <w:p w:rsidR="00937CC5" w:rsidRDefault="007A54EB">
      <w:pPr>
        <w:pStyle w:val="2"/>
        <w:rPr>
          <w:color w:val="000000"/>
        </w:rPr>
      </w:pPr>
      <w:bookmarkStart w:id="29" w:name="_Toc450165441"/>
      <w:bookmarkStart w:id="30" w:name="_Toc494020664"/>
      <w:r>
        <w:rPr>
          <w:rFonts w:hint="eastAsia"/>
        </w:rPr>
        <w:t>7</w:t>
      </w:r>
      <w:r>
        <w:rPr>
          <w:rFonts w:hint="eastAsia"/>
        </w:rPr>
        <w:t>、</w:t>
      </w:r>
      <w:r>
        <w:rPr>
          <w:rFonts w:hint="eastAsia"/>
          <w:color w:val="000000"/>
        </w:rPr>
        <w:t>进出口与外贸收支</w:t>
      </w:r>
      <w:bookmarkEnd w:id="29"/>
      <w:bookmarkEnd w:id="30"/>
    </w:p>
    <w:p w:rsidR="00937CC5" w:rsidRDefault="007A54EB">
      <w:pPr>
        <w:ind w:firstLineChars="200" w:firstLine="480"/>
        <w:rPr>
          <w:rFonts w:ascii="华文楷体" w:hAnsi="华文楷体" w:cs="Arial"/>
          <w:color w:val="222222"/>
          <w:spacing w:val="15"/>
          <w:kern w:val="0"/>
          <w:szCs w:val="21"/>
        </w:rPr>
      </w:pPr>
      <w:bookmarkStart w:id="31" w:name="_Toc450560271"/>
      <w:r>
        <w:rPr>
          <w:rFonts w:ascii="华文楷体" w:hAnsi="华文楷体" w:cs="Arial" w:hint="eastAsia"/>
          <w:color w:val="222222"/>
          <w:spacing w:val="15"/>
          <w:kern w:val="0"/>
          <w:szCs w:val="21"/>
        </w:rPr>
        <w:t>据海关统计，今年前9个月，我国货物贸易进出口总值20.29</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元人民币，比去年同期（下同）增长11.7%。其中，出口16.32</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元，增长7.5%；进口万</w:t>
      </w:r>
      <w:proofErr w:type="gramStart"/>
      <w:r>
        <w:rPr>
          <w:rFonts w:ascii="华文楷体" w:hAnsi="华文楷体" w:cs="Arial" w:hint="eastAsia"/>
          <w:color w:val="222222"/>
          <w:spacing w:val="15"/>
          <w:kern w:val="0"/>
          <w:szCs w:val="21"/>
        </w:rPr>
        <w:t>13</w:t>
      </w:r>
      <w:proofErr w:type="gramEnd"/>
      <w:r>
        <w:rPr>
          <w:rFonts w:ascii="华文楷体" w:hAnsi="华文楷体" w:cs="Arial" w:hint="eastAsia"/>
          <w:color w:val="222222"/>
          <w:spacing w:val="15"/>
          <w:kern w:val="0"/>
          <w:szCs w:val="21"/>
        </w:rPr>
        <w:t>.37亿元，增长17.3%；贸易顺差2.96</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w:t>
      </w:r>
    </w:p>
    <w:p w:rsidR="00937CC5" w:rsidRDefault="007A54EB">
      <w:pPr>
        <w:ind w:firstLineChars="200" w:firstLine="480"/>
        <w:rPr>
          <w:rFonts w:ascii="华文楷体" w:hAnsi="华文楷体" w:cs="Arial"/>
          <w:color w:val="222222"/>
          <w:spacing w:val="15"/>
          <w:kern w:val="0"/>
          <w:szCs w:val="21"/>
        </w:rPr>
      </w:pPr>
      <w:r>
        <w:rPr>
          <w:rFonts w:ascii="华文楷体" w:hAnsi="华文楷体" w:cs="Arial" w:hint="eastAsia"/>
          <w:color w:val="222222"/>
          <w:spacing w:val="15"/>
          <w:kern w:val="0"/>
          <w:szCs w:val="21"/>
        </w:rPr>
        <w:t>9月份，我国进出口总值2.46</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元，增长13.6%。其中，出口1.32</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元，增长9%；进口1.13</w:t>
      </w:r>
      <w:proofErr w:type="gramStart"/>
      <w:r>
        <w:rPr>
          <w:rFonts w:ascii="华文楷体" w:hAnsi="华文楷体" w:cs="Arial" w:hint="eastAsia"/>
          <w:color w:val="222222"/>
          <w:spacing w:val="15"/>
          <w:kern w:val="0"/>
          <w:szCs w:val="21"/>
        </w:rPr>
        <w:t>万亿</w:t>
      </w:r>
      <w:proofErr w:type="gramEnd"/>
      <w:r>
        <w:rPr>
          <w:rFonts w:ascii="华文楷体" w:hAnsi="华文楷体" w:cs="Arial" w:hint="eastAsia"/>
          <w:color w:val="222222"/>
          <w:spacing w:val="15"/>
          <w:kern w:val="0"/>
          <w:szCs w:val="21"/>
        </w:rPr>
        <w:t>元，增长19.5%；贸易顺差1930亿元，收窄32.6%。</w:t>
      </w:r>
    </w:p>
    <w:p w:rsidR="00937CC5" w:rsidRDefault="00937CC5">
      <w:pPr>
        <w:rPr>
          <w:rFonts w:ascii="华文楷体" w:hAnsi="华文楷体" w:cs="Arial"/>
          <w:color w:val="222222"/>
          <w:spacing w:val="15"/>
          <w:kern w:val="0"/>
          <w:szCs w:val="21"/>
        </w:rPr>
      </w:pPr>
    </w:p>
    <w:p w:rsidR="00937CC5" w:rsidRDefault="007A54EB">
      <w:pPr>
        <w:pStyle w:val="a3"/>
        <w:jc w:val="center"/>
        <w:rPr>
          <w:rFonts w:ascii="宋体" w:eastAsia="宋体" w:hAnsi="宋体"/>
          <w:b/>
          <w:sz w:val="21"/>
          <w:szCs w:val="21"/>
        </w:rPr>
      </w:pPr>
      <w:bookmarkStart w:id="32" w:name="_Toc492279104"/>
      <w:r>
        <w:rPr>
          <w:rFonts w:ascii="宋体" w:eastAsia="宋体" w:hAnsi="宋体" w:hint="eastAsia"/>
          <w:b/>
          <w:sz w:val="21"/>
          <w:szCs w:val="21"/>
        </w:rPr>
        <w:t xml:space="preserve">图表 </w:t>
      </w:r>
      <w:r>
        <w:rPr>
          <w:rFonts w:ascii="宋体" w:eastAsia="宋体" w:hAnsi="宋体" w:hint="eastAsia"/>
          <w:b/>
          <w:sz w:val="21"/>
          <w:szCs w:val="21"/>
        </w:rPr>
        <w:fldChar w:fldCharType="begin"/>
      </w:r>
      <w:r>
        <w:rPr>
          <w:rFonts w:ascii="宋体" w:eastAsia="宋体" w:hAnsi="宋体" w:hint="eastAsia"/>
          <w:b/>
          <w:sz w:val="21"/>
          <w:szCs w:val="21"/>
        </w:rPr>
        <w:instrText xml:space="preserve"> SEQ 图表 \* ARABIC </w:instrText>
      </w:r>
      <w:r>
        <w:rPr>
          <w:rFonts w:ascii="宋体" w:eastAsia="宋体" w:hAnsi="宋体" w:hint="eastAsia"/>
          <w:b/>
          <w:sz w:val="21"/>
          <w:szCs w:val="21"/>
        </w:rPr>
        <w:fldChar w:fldCharType="separate"/>
      </w:r>
      <w:r>
        <w:rPr>
          <w:rFonts w:ascii="宋体" w:eastAsia="宋体" w:hAnsi="宋体" w:hint="eastAsia"/>
          <w:b/>
          <w:sz w:val="21"/>
          <w:szCs w:val="21"/>
        </w:rPr>
        <w:t>10</w:t>
      </w:r>
      <w:r>
        <w:rPr>
          <w:rFonts w:ascii="宋体" w:eastAsia="宋体" w:hAnsi="宋体" w:hint="eastAsia"/>
          <w:b/>
          <w:sz w:val="21"/>
          <w:szCs w:val="21"/>
        </w:rPr>
        <w:fldChar w:fldCharType="end"/>
      </w:r>
      <w:r>
        <w:rPr>
          <w:rFonts w:ascii="宋体" w:eastAsia="宋体" w:hAnsi="宋体" w:hint="eastAsia"/>
          <w:b/>
          <w:sz w:val="21"/>
          <w:szCs w:val="21"/>
        </w:rPr>
        <w:t>：中国进出口金额</w:t>
      </w:r>
      <w:bookmarkEnd w:id="31"/>
      <w:bookmarkEnd w:id="32"/>
    </w:p>
    <w:p w:rsidR="00937CC5" w:rsidRPr="00714B09" w:rsidRDefault="00714B09" w:rsidP="00714B09">
      <w:pPr>
        <w:rPr>
          <w:rFonts w:hint="eastAsia"/>
        </w:rPr>
      </w:pPr>
      <w:r>
        <w:rPr>
          <w:noProof/>
        </w:rPr>
        <w:drawing>
          <wp:inline distT="0" distB="0" distL="0" distR="0" wp14:anchorId="1E7211B5">
            <wp:extent cx="5072304" cy="2147978"/>
            <wp:effectExtent l="0" t="0" r="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0831" cy="2164293"/>
                    </a:xfrm>
                    <a:prstGeom prst="rect">
                      <a:avLst/>
                    </a:prstGeom>
                    <a:noFill/>
                  </pic:spPr>
                </pic:pic>
              </a:graphicData>
            </a:graphic>
          </wp:inline>
        </w:drawing>
      </w:r>
    </w:p>
    <w:p w:rsidR="00937CC5" w:rsidRDefault="007A54EB">
      <w:pPr>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7A54EB">
      <w:pPr>
        <w:widowControl/>
        <w:jc w:val="left"/>
      </w:pPr>
      <w:r>
        <w:br w:type="page"/>
      </w:r>
    </w:p>
    <w:p w:rsidR="00937CC5" w:rsidRDefault="007A54EB">
      <w:pPr>
        <w:pStyle w:val="1"/>
      </w:pPr>
      <w:bookmarkStart w:id="33" w:name="_Toc494020665"/>
      <w:r>
        <w:rPr>
          <w:rFonts w:hint="eastAsia"/>
        </w:rPr>
        <w:lastRenderedPageBreak/>
        <w:t>四、股指期货</w:t>
      </w:r>
      <w:bookmarkEnd w:id="33"/>
    </w:p>
    <w:p w:rsidR="00937CC5" w:rsidRDefault="007A54EB">
      <w:pPr>
        <w:pStyle w:val="2"/>
      </w:pPr>
      <w:bookmarkStart w:id="34" w:name="_Toc494020666"/>
      <w:r>
        <w:rPr>
          <w:rFonts w:hint="eastAsia"/>
        </w:rPr>
        <w:t>1</w:t>
      </w:r>
      <w:r>
        <w:rPr>
          <w:rFonts w:hint="eastAsia"/>
        </w:rPr>
        <w:t>、三大期指情况</w:t>
      </w:r>
      <w:bookmarkEnd w:id="34"/>
    </w:p>
    <w:p w:rsidR="00937CC5" w:rsidRDefault="007A54EB" w:rsidP="00714B09">
      <w:pPr>
        <w:pStyle w:val="a3"/>
        <w:rPr>
          <w:rFonts w:ascii="宋体" w:eastAsia="宋体" w:hAnsi="宋体"/>
          <w:b/>
          <w:sz w:val="21"/>
          <w:szCs w:val="21"/>
        </w:rPr>
      </w:pPr>
      <w:bookmarkStart w:id="35" w:name="_Toc450560272"/>
      <w:bookmarkStart w:id="36" w:name="_Toc492279105"/>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11</w:t>
      </w:r>
      <w:r>
        <w:rPr>
          <w:rFonts w:ascii="宋体" w:eastAsia="宋体" w:hAnsi="宋体"/>
          <w:b/>
          <w:sz w:val="21"/>
          <w:szCs w:val="21"/>
        </w:rPr>
        <w:fldChar w:fldCharType="end"/>
      </w:r>
      <w:r>
        <w:rPr>
          <w:rFonts w:ascii="宋体" w:eastAsia="宋体" w:hAnsi="宋体" w:hint="eastAsia"/>
          <w:b/>
          <w:sz w:val="21"/>
          <w:szCs w:val="21"/>
        </w:rPr>
        <w:t>：三大期指本周合约情况</w:t>
      </w:r>
      <w:bookmarkEnd w:id="35"/>
      <w:bookmarkEnd w:id="36"/>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843"/>
        <w:gridCol w:w="1701"/>
        <w:gridCol w:w="1559"/>
      </w:tblGrid>
      <w:tr w:rsidR="00937CC5" w:rsidTr="00714B09">
        <w:trPr>
          <w:trHeight w:val="849"/>
        </w:trPr>
        <w:tc>
          <w:tcPr>
            <w:tcW w:w="1809" w:type="dxa"/>
            <w:shd w:val="clear" w:color="auto" w:fill="ED7D31"/>
            <w:vAlign w:val="center"/>
          </w:tcPr>
          <w:p w:rsidR="00937CC5" w:rsidRDefault="007A54EB">
            <w:pPr>
              <w:spacing w:beforeLines="40" w:before="124" w:afterLines="40" w:after="124"/>
              <w:jc w:val="center"/>
              <w:rPr>
                <w:rFonts w:ascii="宋体" w:eastAsia="宋体" w:hAnsi="宋体"/>
                <w:b/>
                <w:sz w:val="18"/>
                <w:szCs w:val="18"/>
              </w:rPr>
            </w:pPr>
            <w:r>
              <w:rPr>
                <w:rFonts w:ascii="宋体" w:eastAsia="宋体" w:hAnsi="宋体" w:hint="eastAsia"/>
                <w:b/>
                <w:sz w:val="18"/>
                <w:szCs w:val="18"/>
              </w:rPr>
              <w:t>期指主力</w:t>
            </w:r>
          </w:p>
        </w:tc>
        <w:tc>
          <w:tcPr>
            <w:tcW w:w="1701" w:type="dxa"/>
            <w:shd w:val="clear" w:color="auto" w:fill="ED7D31"/>
            <w:vAlign w:val="center"/>
          </w:tcPr>
          <w:p w:rsidR="00937CC5" w:rsidRDefault="007A54EB">
            <w:pPr>
              <w:spacing w:beforeLines="40" w:before="124" w:afterLines="40" w:after="124"/>
              <w:jc w:val="center"/>
              <w:rPr>
                <w:rFonts w:ascii="宋体" w:eastAsia="宋体" w:hAnsi="宋体"/>
                <w:b/>
                <w:sz w:val="18"/>
                <w:szCs w:val="18"/>
              </w:rPr>
            </w:pPr>
            <w:r>
              <w:rPr>
                <w:rFonts w:ascii="宋体" w:eastAsia="宋体" w:hAnsi="宋体" w:hint="eastAsia"/>
                <w:b/>
                <w:sz w:val="18"/>
                <w:szCs w:val="18"/>
              </w:rPr>
              <w:t>周涨跌（</w:t>
            </w:r>
            <w:r>
              <w:rPr>
                <w:rFonts w:ascii="宋体" w:eastAsia="宋体" w:hAnsi="宋体"/>
                <w:b/>
                <w:sz w:val="18"/>
                <w:szCs w:val="18"/>
              </w:rPr>
              <w:t>%）</w:t>
            </w:r>
          </w:p>
        </w:tc>
        <w:tc>
          <w:tcPr>
            <w:tcW w:w="1843" w:type="dxa"/>
            <w:shd w:val="clear" w:color="auto" w:fill="ED7D31"/>
            <w:vAlign w:val="center"/>
          </w:tcPr>
          <w:p w:rsidR="00937CC5" w:rsidRDefault="007A54EB">
            <w:pPr>
              <w:spacing w:beforeLines="40" w:before="124" w:afterLines="40" w:after="124"/>
              <w:jc w:val="center"/>
              <w:rPr>
                <w:rFonts w:ascii="宋体" w:eastAsia="宋体" w:hAnsi="宋体"/>
                <w:b/>
                <w:sz w:val="18"/>
                <w:szCs w:val="18"/>
              </w:rPr>
            </w:pPr>
            <w:r>
              <w:rPr>
                <w:rFonts w:ascii="宋体" w:eastAsia="宋体" w:hAnsi="宋体" w:hint="eastAsia"/>
                <w:b/>
                <w:sz w:val="18"/>
                <w:szCs w:val="18"/>
              </w:rPr>
              <w:t>收盘价</w:t>
            </w:r>
          </w:p>
        </w:tc>
        <w:tc>
          <w:tcPr>
            <w:tcW w:w="1701" w:type="dxa"/>
            <w:shd w:val="clear" w:color="auto" w:fill="ED7D31"/>
            <w:vAlign w:val="center"/>
          </w:tcPr>
          <w:p w:rsidR="00937CC5" w:rsidRDefault="007A54EB">
            <w:pPr>
              <w:spacing w:beforeLines="40" w:before="124" w:afterLines="40" w:after="124"/>
              <w:jc w:val="center"/>
              <w:rPr>
                <w:rFonts w:ascii="宋体" w:eastAsia="宋体" w:hAnsi="宋体"/>
                <w:b/>
                <w:sz w:val="18"/>
                <w:szCs w:val="18"/>
              </w:rPr>
            </w:pPr>
            <w:r>
              <w:rPr>
                <w:rFonts w:ascii="宋体" w:eastAsia="宋体" w:hAnsi="宋体" w:hint="eastAsia"/>
                <w:b/>
                <w:sz w:val="18"/>
                <w:szCs w:val="18"/>
              </w:rPr>
              <w:t>周成交量（万手）</w:t>
            </w:r>
          </w:p>
        </w:tc>
        <w:tc>
          <w:tcPr>
            <w:tcW w:w="1559" w:type="dxa"/>
            <w:shd w:val="clear" w:color="auto" w:fill="ED7D31"/>
            <w:vAlign w:val="center"/>
          </w:tcPr>
          <w:p w:rsidR="00937CC5" w:rsidRDefault="007A54EB">
            <w:pPr>
              <w:spacing w:beforeLines="40" w:before="124" w:afterLines="40" w:after="124"/>
              <w:jc w:val="center"/>
              <w:rPr>
                <w:rFonts w:ascii="宋体" w:eastAsia="宋体" w:hAnsi="宋体"/>
                <w:b/>
                <w:sz w:val="18"/>
                <w:szCs w:val="18"/>
              </w:rPr>
            </w:pPr>
            <w:r>
              <w:rPr>
                <w:rFonts w:ascii="宋体" w:eastAsia="宋体" w:hAnsi="宋体" w:hint="eastAsia"/>
                <w:b/>
                <w:sz w:val="18"/>
                <w:szCs w:val="18"/>
              </w:rPr>
              <w:t>持仓量（万手）</w:t>
            </w:r>
          </w:p>
        </w:tc>
      </w:tr>
      <w:tr w:rsidR="00937CC5" w:rsidTr="00714B09">
        <w:trPr>
          <w:trHeight w:val="536"/>
        </w:trPr>
        <w:tc>
          <w:tcPr>
            <w:tcW w:w="1809"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IF1710</w:t>
            </w:r>
          </w:p>
        </w:tc>
        <w:tc>
          <w:tcPr>
            <w:tcW w:w="1701"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2.4819</w:t>
            </w:r>
          </w:p>
        </w:tc>
        <w:tc>
          <w:tcPr>
            <w:tcW w:w="1843"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4021.8</w:t>
            </w:r>
          </w:p>
        </w:tc>
        <w:tc>
          <w:tcPr>
            <w:tcW w:w="1701"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5.25</w:t>
            </w:r>
          </w:p>
        </w:tc>
        <w:tc>
          <w:tcPr>
            <w:tcW w:w="1559"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2.</w:t>
            </w:r>
            <w:r w:rsidR="00201460">
              <w:rPr>
                <w:rFonts w:ascii="宋体" w:eastAsia="宋体" w:hAnsi="宋体"/>
                <w:sz w:val="18"/>
                <w:szCs w:val="18"/>
              </w:rPr>
              <w:t>30</w:t>
            </w:r>
          </w:p>
        </w:tc>
      </w:tr>
      <w:tr w:rsidR="00937CC5" w:rsidTr="00714B09">
        <w:trPr>
          <w:trHeight w:val="551"/>
        </w:trPr>
        <w:tc>
          <w:tcPr>
            <w:tcW w:w="1809"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IH1710</w:t>
            </w:r>
          </w:p>
        </w:tc>
        <w:tc>
          <w:tcPr>
            <w:tcW w:w="1701"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2.9558</w:t>
            </w:r>
          </w:p>
        </w:tc>
        <w:tc>
          <w:tcPr>
            <w:tcW w:w="1843"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2821.4</w:t>
            </w:r>
          </w:p>
        </w:tc>
        <w:tc>
          <w:tcPr>
            <w:tcW w:w="1701"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3.</w:t>
            </w:r>
            <w:r w:rsidR="00201460">
              <w:rPr>
                <w:rFonts w:ascii="宋体" w:eastAsia="宋体" w:hAnsi="宋体"/>
                <w:sz w:val="18"/>
                <w:szCs w:val="18"/>
              </w:rPr>
              <w:t>67</w:t>
            </w:r>
          </w:p>
        </w:tc>
        <w:tc>
          <w:tcPr>
            <w:tcW w:w="1559"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1.</w:t>
            </w:r>
            <w:r w:rsidR="00201460">
              <w:rPr>
                <w:rFonts w:ascii="宋体" w:eastAsia="宋体" w:hAnsi="宋体"/>
                <w:sz w:val="18"/>
                <w:szCs w:val="18"/>
              </w:rPr>
              <w:t>48</w:t>
            </w:r>
          </w:p>
        </w:tc>
      </w:tr>
      <w:tr w:rsidR="00937CC5" w:rsidTr="00714B09">
        <w:trPr>
          <w:trHeight w:val="551"/>
        </w:trPr>
        <w:tc>
          <w:tcPr>
            <w:tcW w:w="1809"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hint="eastAsia"/>
                <w:sz w:val="18"/>
                <w:szCs w:val="18"/>
              </w:rPr>
              <w:t>IC1710</w:t>
            </w:r>
          </w:p>
        </w:tc>
        <w:tc>
          <w:tcPr>
            <w:tcW w:w="1701" w:type="dxa"/>
            <w:vAlign w:val="center"/>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0.8155</w:t>
            </w:r>
          </w:p>
        </w:tc>
        <w:tc>
          <w:tcPr>
            <w:tcW w:w="1843" w:type="dxa"/>
          </w:tcPr>
          <w:p w:rsidR="00937CC5" w:rsidRDefault="007A54EB">
            <w:pPr>
              <w:spacing w:beforeLines="40" w:before="124" w:afterLines="40" w:after="124"/>
              <w:jc w:val="center"/>
              <w:rPr>
                <w:rFonts w:ascii="宋体" w:eastAsia="宋体" w:hAnsi="宋体"/>
                <w:sz w:val="18"/>
                <w:szCs w:val="18"/>
              </w:rPr>
            </w:pPr>
            <w:r>
              <w:rPr>
                <w:rFonts w:ascii="宋体" w:eastAsia="宋体" w:hAnsi="宋体"/>
                <w:sz w:val="18"/>
                <w:szCs w:val="18"/>
              </w:rPr>
              <w:t>6601.4</w:t>
            </w:r>
          </w:p>
        </w:tc>
        <w:tc>
          <w:tcPr>
            <w:tcW w:w="1701" w:type="dxa"/>
          </w:tcPr>
          <w:p w:rsidR="00937CC5" w:rsidRDefault="00201460">
            <w:pPr>
              <w:spacing w:beforeLines="40" w:before="124" w:afterLines="40" w:after="124"/>
              <w:jc w:val="center"/>
              <w:rPr>
                <w:rFonts w:ascii="宋体" w:eastAsia="宋体" w:hAnsi="宋体"/>
                <w:sz w:val="18"/>
                <w:szCs w:val="18"/>
              </w:rPr>
            </w:pPr>
            <w:r>
              <w:rPr>
                <w:rFonts w:ascii="宋体" w:eastAsia="宋体" w:hAnsi="宋体"/>
                <w:sz w:val="18"/>
                <w:szCs w:val="18"/>
              </w:rPr>
              <w:t>5.27</w:t>
            </w:r>
          </w:p>
        </w:tc>
        <w:tc>
          <w:tcPr>
            <w:tcW w:w="1559" w:type="dxa"/>
            <w:vAlign w:val="center"/>
          </w:tcPr>
          <w:p w:rsidR="00937CC5" w:rsidRDefault="00201460">
            <w:pPr>
              <w:spacing w:beforeLines="40" w:before="124" w:afterLines="40" w:after="124"/>
              <w:jc w:val="center"/>
              <w:rPr>
                <w:rFonts w:ascii="宋体" w:eastAsia="宋体" w:hAnsi="宋体"/>
                <w:sz w:val="18"/>
                <w:szCs w:val="18"/>
              </w:rPr>
            </w:pPr>
            <w:r>
              <w:rPr>
                <w:rFonts w:ascii="宋体" w:eastAsia="宋体" w:hAnsi="宋体" w:hint="eastAsia"/>
                <w:sz w:val="18"/>
                <w:szCs w:val="18"/>
              </w:rPr>
              <w:t>1.78</w:t>
            </w:r>
          </w:p>
        </w:tc>
      </w:tr>
    </w:tbl>
    <w:p w:rsidR="00937CC5" w:rsidRDefault="007A54EB">
      <w:pPr>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Pr="00714B09" w:rsidRDefault="00937CC5">
      <w:pPr>
        <w:pStyle w:val="a3"/>
        <w:rPr>
          <w:rFonts w:ascii="宋体" w:eastAsia="宋体" w:hAnsi="宋体"/>
          <w:sz w:val="21"/>
          <w:szCs w:val="21"/>
        </w:rPr>
      </w:pPr>
      <w:bookmarkStart w:id="37" w:name="_Toc450560273"/>
    </w:p>
    <w:p w:rsidR="00937CC5" w:rsidRDefault="007A54EB" w:rsidP="00714B09">
      <w:pPr>
        <w:pStyle w:val="a3"/>
        <w:rPr>
          <w:rFonts w:ascii="宋体" w:eastAsia="宋体" w:hAnsi="宋体"/>
          <w:b/>
          <w:sz w:val="21"/>
          <w:szCs w:val="21"/>
        </w:rPr>
      </w:pPr>
      <w:bookmarkStart w:id="38" w:name="_Toc492279106"/>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12</w:t>
      </w:r>
      <w:r>
        <w:rPr>
          <w:rFonts w:ascii="宋体" w:eastAsia="宋体" w:hAnsi="宋体"/>
          <w:b/>
          <w:sz w:val="21"/>
          <w:szCs w:val="21"/>
        </w:rPr>
        <w:fldChar w:fldCharType="end"/>
      </w:r>
      <w:r>
        <w:rPr>
          <w:rFonts w:ascii="宋体" w:eastAsia="宋体" w:hAnsi="宋体" w:hint="eastAsia"/>
          <w:b/>
          <w:sz w:val="21"/>
          <w:szCs w:val="21"/>
        </w:rPr>
        <w:t>：最近5日三大期指当月合约升贴水（期-现）</w:t>
      </w:r>
      <w:bookmarkEnd w:id="37"/>
      <w:bookmarkEnd w:id="38"/>
    </w:p>
    <w:p w:rsidR="00937CC5" w:rsidRDefault="00714B09" w:rsidP="00BD66FD">
      <w:pPr>
        <w:jc w:val="center"/>
      </w:pPr>
      <w:r>
        <w:rPr>
          <w:noProof/>
        </w:rPr>
        <w:drawing>
          <wp:inline distT="0" distB="0" distL="0" distR="0" wp14:anchorId="35C83C9B">
            <wp:extent cx="5419725" cy="1992702"/>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5045" cy="1994658"/>
                    </a:xfrm>
                    <a:prstGeom prst="rect">
                      <a:avLst/>
                    </a:prstGeom>
                    <a:noFill/>
                  </pic:spPr>
                </pic:pic>
              </a:graphicData>
            </a:graphic>
          </wp:inline>
        </w:drawing>
      </w:r>
    </w:p>
    <w:p w:rsidR="00937CC5" w:rsidRDefault="007A54EB">
      <w:pPr>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Pr="00754F9B" w:rsidRDefault="00937CC5">
      <w:pPr>
        <w:rPr>
          <w:sz w:val="18"/>
          <w:szCs w:val="18"/>
        </w:rPr>
      </w:pPr>
    </w:p>
    <w:p w:rsidR="00937CC5" w:rsidRDefault="007A54EB">
      <w:pPr>
        <w:pStyle w:val="2"/>
      </w:pPr>
      <w:bookmarkStart w:id="39" w:name="_Toc494020667"/>
      <w:r>
        <w:rPr>
          <w:rFonts w:hint="eastAsia"/>
        </w:rPr>
        <w:t>2</w:t>
      </w:r>
      <w:r>
        <w:rPr>
          <w:rFonts w:hint="eastAsia"/>
        </w:rPr>
        <w:t>、股指情况</w:t>
      </w:r>
      <w:bookmarkEnd w:id="39"/>
    </w:p>
    <w:p w:rsidR="00937CC5" w:rsidRDefault="007A54EB">
      <w:pPr>
        <w:ind w:firstLineChars="200" w:firstLine="420"/>
      </w:pPr>
      <w:r>
        <w:rPr>
          <w:rFonts w:hint="eastAsia"/>
        </w:rPr>
        <w:t>本周三大期指主力</w:t>
      </w:r>
      <w:r w:rsidR="00754F9B">
        <w:rPr>
          <w:rFonts w:hint="eastAsia"/>
        </w:rPr>
        <w:t>同时上扬</w:t>
      </w:r>
      <w:r>
        <w:rPr>
          <w:rFonts w:hint="eastAsia"/>
        </w:rPr>
        <w:t>，</w:t>
      </w:r>
      <w:r w:rsidR="00754F9B">
        <w:rPr>
          <w:rFonts w:hint="eastAsia"/>
        </w:rPr>
        <w:t>其中</w:t>
      </w:r>
      <w:r w:rsidR="00754F9B">
        <w:rPr>
          <w:rFonts w:hint="eastAsia"/>
        </w:rPr>
        <w:t>IH</w:t>
      </w:r>
      <w:r w:rsidR="00754F9B">
        <w:rPr>
          <w:rFonts w:hint="eastAsia"/>
        </w:rPr>
        <w:t>涨幅较大，</w:t>
      </w:r>
      <w:r w:rsidR="00754F9B">
        <w:rPr>
          <w:rFonts w:hint="eastAsia"/>
        </w:rPr>
        <w:t>I</w:t>
      </w:r>
      <w:r w:rsidR="00754F9B">
        <w:t>F</w:t>
      </w:r>
      <w:r w:rsidR="00754F9B">
        <w:rPr>
          <w:rFonts w:hint="eastAsia"/>
        </w:rPr>
        <w:t>次之，</w:t>
      </w:r>
      <w:r w:rsidR="00754F9B">
        <w:rPr>
          <w:rFonts w:hint="eastAsia"/>
        </w:rPr>
        <w:t>IC</w:t>
      </w:r>
      <w:r w:rsidR="00754F9B">
        <w:rPr>
          <w:rFonts w:hint="eastAsia"/>
        </w:rPr>
        <w:t>涨幅最小</w:t>
      </w:r>
      <w:r>
        <w:rPr>
          <w:rFonts w:hint="eastAsia"/>
        </w:rPr>
        <w:t>；成交量方面，三大期指主力均较上周</w:t>
      </w:r>
      <w:r w:rsidR="00754F9B">
        <w:rPr>
          <w:rFonts w:hint="eastAsia"/>
        </w:rPr>
        <w:t>增加</w:t>
      </w:r>
      <w:r>
        <w:rPr>
          <w:rFonts w:hint="eastAsia"/>
        </w:rPr>
        <w:t>；升贴水方面，本周三大期指</w:t>
      </w:r>
      <w:r w:rsidR="00754F9B">
        <w:rPr>
          <w:rFonts w:hint="eastAsia"/>
        </w:rPr>
        <w:t>除了</w:t>
      </w:r>
      <w:r w:rsidR="00754F9B">
        <w:rPr>
          <w:rFonts w:hint="eastAsia"/>
        </w:rPr>
        <w:t>IC</w:t>
      </w:r>
      <w:r w:rsidR="00754F9B">
        <w:rPr>
          <w:rFonts w:hint="eastAsia"/>
        </w:rPr>
        <w:t>外均走强</w:t>
      </w:r>
      <w:r>
        <w:rPr>
          <w:rFonts w:hint="eastAsia"/>
        </w:rPr>
        <w:t>，</w:t>
      </w:r>
      <w:r w:rsidR="00754F9B">
        <w:t>IF</w:t>
      </w:r>
      <w:r w:rsidR="00754F9B">
        <w:rPr>
          <w:rFonts w:hint="eastAsia"/>
        </w:rPr>
        <w:t>贴水幅度小幅缩窄，</w:t>
      </w:r>
      <w:r w:rsidR="00754F9B">
        <w:rPr>
          <w:rFonts w:hint="eastAsia"/>
        </w:rPr>
        <w:t>IH</w:t>
      </w:r>
      <w:r w:rsidR="00754F9B">
        <w:rPr>
          <w:rFonts w:hint="eastAsia"/>
        </w:rPr>
        <w:t>升水幅度小幅扩大，</w:t>
      </w:r>
      <w:r w:rsidR="00754F9B">
        <w:rPr>
          <w:rFonts w:hint="eastAsia"/>
        </w:rPr>
        <w:t>IC</w:t>
      </w:r>
      <w:r w:rsidR="00754F9B">
        <w:rPr>
          <w:rFonts w:hint="eastAsia"/>
        </w:rPr>
        <w:t>则贴水幅度扩大，表明本周投资者更偏好</w:t>
      </w:r>
      <w:r>
        <w:rPr>
          <w:rFonts w:hint="eastAsia"/>
        </w:rPr>
        <w:t>防御性板块。</w:t>
      </w:r>
    </w:p>
    <w:p w:rsidR="00937CC5" w:rsidRDefault="007A54EB">
      <w:pPr>
        <w:pStyle w:val="2"/>
      </w:pPr>
      <w:bookmarkStart w:id="40" w:name="_Toc494020668"/>
      <w:r>
        <w:rPr>
          <w:rFonts w:hint="eastAsia"/>
        </w:rPr>
        <w:t>3</w:t>
      </w:r>
      <w:r>
        <w:rPr>
          <w:rFonts w:hint="eastAsia"/>
        </w:rPr>
        <w:t>、资金流向情况</w:t>
      </w:r>
      <w:bookmarkEnd w:id="40"/>
    </w:p>
    <w:p w:rsidR="00937CC5" w:rsidRDefault="007A54EB">
      <w:pPr>
        <w:pStyle w:val="3"/>
      </w:pPr>
      <w:bookmarkStart w:id="41" w:name="_Toc494020669"/>
      <w:r>
        <w:rPr>
          <w:rFonts w:hint="eastAsia"/>
        </w:rPr>
        <w:t>3.1</w:t>
      </w:r>
      <w:r>
        <w:rPr>
          <w:rFonts w:hint="eastAsia"/>
        </w:rPr>
        <w:t>证券市场资金流向</w:t>
      </w:r>
      <w:bookmarkEnd w:id="41"/>
    </w:p>
    <w:p w:rsidR="00937CC5" w:rsidRDefault="007A54EB">
      <w:r>
        <w:rPr>
          <w:rFonts w:hint="eastAsia"/>
        </w:rPr>
        <w:t>截至</w:t>
      </w:r>
      <w:r>
        <w:rPr>
          <w:rFonts w:hint="eastAsia"/>
        </w:rPr>
        <w:t>10</w:t>
      </w:r>
      <w:r>
        <w:rPr>
          <w:rFonts w:hint="eastAsia"/>
        </w:rPr>
        <w:t>月</w:t>
      </w:r>
      <w:r w:rsidR="000229E2">
        <w:rPr>
          <w:rFonts w:hint="eastAsia"/>
        </w:rPr>
        <w:t>2</w:t>
      </w:r>
      <w:r w:rsidR="000229E2">
        <w:t>7</w:t>
      </w:r>
      <w:r>
        <w:rPr>
          <w:rFonts w:hint="eastAsia"/>
        </w:rPr>
        <w:t>日</w:t>
      </w:r>
      <w:r>
        <w:t>，</w:t>
      </w:r>
      <w:r>
        <w:rPr>
          <w:rFonts w:hint="eastAsia"/>
        </w:rPr>
        <w:t>本周</w:t>
      </w:r>
      <w:r>
        <w:t>A</w:t>
      </w:r>
      <w:r>
        <w:rPr>
          <w:rFonts w:hint="eastAsia"/>
        </w:rPr>
        <w:t>股市场的累计资金净流出</w:t>
      </w:r>
      <w:r w:rsidR="000229E2">
        <w:t>880.92</w:t>
      </w:r>
      <w:r>
        <w:rPr>
          <w:rFonts w:hint="eastAsia"/>
        </w:rPr>
        <w:t>亿元；其中主板净流出额为</w:t>
      </w:r>
      <w:r w:rsidR="0098355A">
        <w:t>482.3</w:t>
      </w:r>
      <w:r>
        <w:rPr>
          <w:rFonts w:hint="eastAsia"/>
        </w:rPr>
        <w:t>9</w:t>
      </w:r>
      <w:r>
        <w:rPr>
          <w:rFonts w:hint="eastAsia"/>
        </w:rPr>
        <w:t>亿元，沪深</w:t>
      </w:r>
      <w:r>
        <w:t>300</w:t>
      </w:r>
      <w:r>
        <w:rPr>
          <w:rFonts w:hint="eastAsia"/>
        </w:rPr>
        <w:t>出现净流出</w:t>
      </w:r>
      <w:r w:rsidR="0098355A">
        <w:t>123.45</w:t>
      </w:r>
      <w:r>
        <w:rPr>
          <w:rFonts w:hint="eastAsia"/>
        </w:rPr>
        <w:t>亿元，</w:t>
      </w:r>
      <w:proofErr w:type="gramStart"/>
      <w:r>
        <w:rPr>
          <w:rFonts w:hint="eastAsia"/>
        </w:rPr>
        <w:t>中小板净流出</w:t>
      </w:r>
      <w:proofErr w:type="gramEnd"/>
      <w:r>
        <w:rPr>
          <w:rFonts w:hint="eastAsia"/>
        </w:rPr>
        <w:t>额</w:t>
      </w:r>
      <w:r w:rsidR="0098355A">
        <w:t>205</w:t>
      </w:r>
      <w:r>
        <w:rPr>
          <w:rFonts w:hint="eastAsia"/>
        </w:rPr>
        <w:t>为亿元，</w:t>
      </w:r>
      <w:proofErr w:type="gramStart"/>
      <w:r>
        <w:rPr>
          <w:rFonts w:hint="eastAsia"/>
        </w:rPr>
        <w:t>创业板净流</w:t>
      </w:r>
      <w:proofErr w:type="gramEnd"/>
      <w:r>
        <w:rPr>
          <w:rFonts w:hint="eastAsia"/>
        </w:rPr>
        <w:t>出</w:t>
      </w:r>
      <w:r w:rsidR="0098355A">
        <w:t>193.53</w:t>
      </w:r>
      <w:r>
        <w:rPr>
          <w:rFonts w:hint="eastAsia"/>
        </w:rPr>
        <w:t>亿元。总流出资金较上周</w:t>
      </w:r>
      <w:r w:rsidR="000229E2">
        <w:rPr>
          <w:rFonts w:hint="eastAsia"/>
        </w:rPr>
        <w:t>大幅减少</w:t>
      </w:r>
      <w:r>
        <w:rPr>
          <w:rFonts w:hint="eastAsia"/>
        </w:rPr>
        <w:t>，其中主要是主板资金流出。</w:t>
      </w:r>
    </w:p>
    <w:p w:rsidR="00937CC5" w:rsidRDefault="00937CC5"/>
    <w:p w:rsidR="00714B09" w:rsidRDefault="00714B09" w:rsidP="00714B09">
      <w:pPr>
        <w:pStyle w:val="a3"/>
        <w:rPr>
          <w:rFonts w:ascii="宋体" w:eastAsia="宋体" w:hAnsi="宋体"/>
          <w:b/>
          <w:sz w:val="21"/>
          <w:szCs w:val="21"/>
        </w:rPr>
      </w:pPr>
      <w:bookmarkStart w:id="42" w:name="_Toc492279107"/>
      <w:bookmarkStart w:id="43" w:name="_Toc450560274"/>
    </w:p>
    <w:p w:rsidR="00937CC5" w:rsidRDefault="007A54EB" w:rsidP="00714B09">
      <w:pPr>
        <w:pStyle w:val="a3"/>
        <w:rPr>
          <w:rFonts w:ascii="宋体" w:eastAsia="宋体" w:hAnsi="宋体"/>
          <w:b/>
          <w:sz w:val="21"/>
          <w:szCs w:val="21"/>
        </w:rPr>
      </w:pPr>
      <w:r>
        <w:rPr>
          <w:rFonts w:ascii="宋体" w:eastAsia="宋体" w:hAnsi="宋体" w:hint="eastAsia"/>
          <w:b/>
          <w:sz w:val="21"/>
          <w:szCs w:val="21"/>
        </w:rPr>
        <w:lastRenderedPageBreak/>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13</w:t>
      </w:r>
      <w:r>
        <w:rPr>
          <w:rFonts w:ascii="宋体" w:eastAsia="宋体" w:hAnsi="宋体"/>
          <w:b/>
          <w:sz w:val="21"/>
          <w:szCs w:val="21"/>
        </w:rPr>
        <w:fldChar w:fldCharType="end"/>
      </w:r>
      <w:r>
        <w:rPr>
          <w:rFonts w:ascii="宋体" w:eastAsia="宋体" w:hAnsi="宋体" w:hint="eastAsia"/>
          <w:b/>
          <w:sz w:val="21"/>
          <w:szCs w:val="21"/>
        </w:rPr>
        <w:t>：最近5日市场资金流向</w:t>
      </w:r>
      <w:bookmarkEnd w:id="42"/>
      <w:bookmarkEnd w:id="43"/>
    </w:p>
    <w:p w:rsidR="00937CC5" w:rsidRDefault="00714B09" w:rsidP="00BD66FD">
      <w:pPr>
        <w:jc w:val="center"/>
      </w:pPr>
      <w:r>
        <w:rPr>
          <w:noProof/>
        </w:rPr>
        <w:drawing>
          <wp:inline distT="0" distB="0" distL="0" distR="0" wp14:anchorId="16DD49FF">
            <wp:extent cx="5063490" cy="2096219"/>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1990" cy="2108017"/>
                    </a:xfrm>
                    <a:prstGeom prst="rect">
                      <a:avLst/>
                    </a:prstGeom>
                    <a:noFill/>
                  </pic:spPr>
                </pic:pic>
              </a:graphicData>
            </a:graphic>
          </wp:inline>
        </w:drawing>
      </w:r>
    </w:p>
    <w:p w:rsidR="00937CC5" w:rsidRDefault="007A54EB">
      <w:r>
        <w:rPr>
          <w:rFonts w:hint="eastAsia"/>
          <w:sz w:val="18"/>
          <w:szCs w:val="18"/>
        </w:rPr>
        <w:t>数据来源：</w:t>
      </w:r>
      <w:r>
        <w:rPr>
          <w:rFonts w:hint="eastAsia"/>
          <w:sz w:val="18"/>
          <w:szCs w:val="18"/>
        </w:rPr>
        <w:t>WIND</w:t>
      </w:r>
      <w:r>
        <w:rPr>
          <w:rFonts w:hint="eastAsia"/>
          <w:sz w:val="18"/>
          <w:szCs w:val="18"/>
        </w:rPr>
        <w:t>，广州期货研究所</w:t>
      </w:r>
    </w:p>
    <w:p w:rsidR="00937CC5" w:rsidRDefault="007A54EB">
      <w:pPr>
        <w:pStyle w:val="3"/>
      </w:pPr>
      <w:bookmarkStart w:id="44" w:name="_Toc494020670"/>
      <w:r>
        <w:rPr>
          <w:rFonts w:hint="eastAsia"/>
        </w:rPr>
        <w:t xml:space="preserve">3.3 </w:t>
      </w:r>
      <w:r>
        <w:rPr>
          <w:rFonts w:hint="eastAsia"/>
        </w:rPr>
        <w:t>沪港</w:t>
      </w:r>
      <w:proofErr w:type="gramStart"/>
      <w:r>
        <w:rPr>
          <w:rFonts w:hint="eastAsia"/>
        </w:rPr>
        <w:t>通资金</w:t>
      </w:r>
      <w:proofErr w:type="gramEnd"/>
      <w:r>
        <w:rPr>
          <w:rFonts w:hint="eastAsia"/>
        </w:rPr>
        <w:t>流向</w:t>
      </w:r>
      <w:bookmarkEnd w:id="44"/>
    </w:p>
    <w:p w:rsidR="00937CC5" w:rsidRDefault="007A54EB">
      <w:pPr>
        <w:rPr>
          <w:rFonts w:eastAsia="宋体"/>
          <w:color w:val="000000"/>
          <w:kern w:val="0"/>
          <w:sz w:val="20"/>
        </w:rPr>
      </w:pPr>
      <w:r>
        <w:rPr>
          <w:rFonts w:hint="eastAsia"/>
        </w:rPr>
        <w:t>最近五日沪港通，港股通累计买入成交额</w:t>
      </w:r>
      <w:r>
        <w:rPr>
          <w:rFonts w:hint="eastAsia"/>
        </w:rPr>
        <w:t>17</w:t>
      </w:r>
      <w:r w:rsidR="0098355A">
        <w:t>9.37</w:t>
      </w:r>
      <w:r>
        <w:rPr>
          <w:rFonts w:hint="eastAsia"/>
        </w:rPr>
        <w:t>亿元，累计卖出成交额</w:t>
      </w:r>
      <w:r w:rsidR="0098355A">
        <w:t>118.65</w:t>
      </w:r>
      <w:r>
        <w:rPr>
          <w:rFonts w:hint="eastAsia"/>
        </w:rPr>
        <w:t>亿元，累计资金净流入</w:t>
      </w:r>
      <w:r w:rsidR="0098355A">
        <w:t>84.8</w:t>
      </w:r>
      <w:r>
        <w:rPr>
          <w:rFonts w:hint="eastAsia"/>
        </w:rPr>
        <w:t>亿元，较上周增加。沪股通累计买入成交额</w:t>
      </w:r>
      <w:r w:rsidR="0098355A">
        <w:t>189.75</w:t>
      </w:r>
      <w:r>
        <w:rPr>
          <w:rFonts w:hint="eastAsia"/>
        </w:rPr>
        <w:t>亿元，累计卖出成交金额</w:t>
      </w:r>
      <w:r w:rsidR="0098355A">
        <w:t>210.13</w:t>
      </w:r>
      <w:r>
        <w:rPr>
          <w:rFonts w:hint="eastAsia"/>
        </w:rPr>
        <w:t>亿元，累计资金流出</w:t>
      </w:r>
      <w:r w:rsidR="0098355A">
        <w:t>15.31</w:t>
      </w:r>
      <w:r>
        <w:rPr>
          <w:rFonts w:hint="eastAsia"/>
        </w:rPr>
        <w:t>亿元。</w:t>
      </w:r>
    </w:p>
    <w:p w:rsidR="00BD66FD" w:rsidRDefault="007A54EB" w:rsidP="00714B09">
      <w:pPr>
        <w:pStyle w:val="a3"/>
        <w:rPr>
          <w:rFonts w:ascii="宋体" w:eastAsia="宋体" w:hAnsi="宋体"/>
          <w:b/>
          <w:sz w:val="21"/>
          <w:szCs w:val="21"/>
        </w:rPr>
      </w:pPr>
      <w:bookmarkStart w:id="45" w:name="_Toc492279108"/>
      <w:bookmarkStart w:id="46" w:name="_Toc450560280"/>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14</w:t>
      </w:r>
      <w:r>
        <w:rPr>
          <w:rFonts w:ascii="宋体" w:eastAsia="宋体" w:hAnsi="宋体"/>
          <w:b/>
          <w:sz w:val="21"/>
          <w:szCs w:val="21"/>
        </w:rPr>
        <w:fldChar w:fldCharType="end"/>
      </w:r>
      <w:r>
        <w:rPr>
          <w:rFonts w:ascii="宋体" w:eastAsia="宋体" w:hAnsi="宋体" w:hint="eastAsia"/>
          <w:b/>
          <w:sz w:val="21"/>
          <w:szCs w:val="21"/>
        </w:rPr>
        <w:t>：最近5日沪港</w:t>
      </w:r>
      <w:proofErr w:type="gramStart"/>
      <w:r>
        <w:rPr>
          <w:rFonts w:ascii="宋体" w:eastAsia="宋体" w:hAnsi="宋体" w:hint="eastAsia"/>
          <w:b/>
          <w:sz w:val="21"/>
          <w:szCs w:val="21"/>
        </w:rPr>
        <w:t>通资金</w:t>
      </w:r>
      <w:proofErr w:type="gramEnd"/>
      <w:r>
        <w:rPr>
          <w:rFonts w:ascii="宋体" w:eastAsia="宋体" w:hAnsi="宋体" w:hint="eastAsia"/>
          <w:b/>
          <w:sz w:val="21"/>
          <w:szCs w:val="21"/>
        </w:rPr>
        <w:t>流向</w:t>
      </w:r>
      <w:bookmarkEnd w:id="45"/>
      <w:bookmarkEnd w:id="46"/>
    </w:p>
    <w:p w:rsidR="00937CC5" w:rsidRDefault="00BD66FD" w:rsidP="00BD66FD">
      <w:pPr>
        <w:jc w:val="center"/>
      </w:pPr>
      <w:r>
        <w:rPr>
          <w:noProof/>
        </w:rPr>
        <w:drawing>
          <wp:inline distT="0" distB="0" distL="0" distR="0" wp14:anchorId="14A582DC" wp14:editId="2C99E9E5">
            <wp:extent cx="5285740" cy="2113472"/>
            <wp:effectExtent l="0" t="0" r="0" b="12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5445" cy="2117352"/>
                    </a:xfrm>
                    <a:prstGeom prst="rect">
                      <a:avLst/>
                    </a:prstGeom>
                    <a:noFill/>
                  </pic:spPr>
                </pic:pic>
              </a:graphicData>
            </a:graphic>
          </wp:inline>
        </w:drawing>
      </w:r>
    </w:p>
    <w:p w:rsidR="00937CC5" w:rsidRDefault="007A54EB">
      <w:pPr>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 w:rsidR="00937CC5" w:rsidRDefault="007A54EB">
      <w:pPr>
        <w:pStyle w:val="2"/>
      </w:pPr>
      <w:bookmarkStart w:id="47" w:name="_Toc494020671"/>
      <w:r>
        <w:rPr>
          <w:rFonts w:hint="eastAsia"/>
        </w:rPr>
        <w:t>4</w:t>
      </w:r>
      <w:r>
        <w:rPr>
          <w:rFonts w:hint="eastAsia"/>
        </w:rPr>
        <w:t>、资金流动性</w:t>
      </w:r>
      <w:bookmarkEnd w:id="47"/>
    </w:p>
    <w:p w:rsidR="00937CC5" w:rsidRDefault="007A54EB">
      <w:pPr>
        <w:pStyle w:val="3"/>
      </w:pPr>
      <w:bookmarkStart w:id="48" w:name="_Toc494020672"/>
      <w:r>
        <w:rPr>
          <w:rFonts w:hint="eastAsia"/>
        </w:rPr>
        <w:t>4.1</w:t>
      </w:r>
      <w:r>
        <w:rPr>
          <w:rFonts w:hint="eastAsia"/>
        </w:rPr>
        <w:t>公开市场操作</w:t>
      </w:r>
      <w:bookmarkEnd w:id="48"/>
    </w:p>
    <w:p w:rsidR="00937CC5" w:rsidRDefault="007A54EB">
      <w:pPr>
        <w:pStyle w:val="a3"/>
        <w:rPr>
          <w:rFonts w:ascii="Times New Roman" w:eastAsia="华文楷体" w:hAnsi="Times New Roman"/>
          <w:sz w:val="21"/>
        </w:rPr>
      </w:pPr>
      <w:bookmarkStart w:id="49" w:name="_Toc450560281"/>
      <w:r>
        <w:rPr>
          <w:rFonts w:ascii="Times New Roman" w:eastAsia="华文楷体" w:hAnsi="Times New Roman" w:hint="eastAsia"/>
          <w:sz w:val="21"/>
        </w:rPr>
        <w:t>央行本周每天均开展了公开市场逆回购操作，净投放资金</w:t>
      </w:r>
      <w:r w:rsidR="000A52DE">
        <w:rPr>
          <w:rFonts w:ascii="Times New Roman" w:eastAsia="华文楷体" w:hAnsi="Times New Roman"/>
          <w:sz w:val="21"/>
        </w:rPr>
        <w:t>3900</w:t>
      </w:r>
      <w:r>
        <w:rPr>
          <w:rFonts w:ascii="Times New Roman" w:eastAsia="华文楷体" w:hAnsi="Times New Roman" w:hint="eastAsia"/>
          <w:sz w:val="21"/>
        </w:rPr>
        <w:t>亿元，流动性较为宽松。</w:t>
      </w:r>
    </w:p>
    <w:p w:rsidR="00937CC5" w:rsidRDefault="007A54EB">
      <w:pPr>
        <w:pStyle w:val="a3"/>
        <w:rPr>
          <w:rFonts w:ascii="宋体" w:eastAsia="宋体" w:hAnsi="宋体"/>
          <w:sz w:val="21"/>
          <w:szCs w:val="21"/>
        </w:rPr>
      </w:pPr>
      <w:bookmarkStart w:id="50" w:name="_Toc492279109"/>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15</w:t>
      </w:r>
      <w:r>
        <w:rPr>
          <w:rFonts w:ascii="宋体" w:eastAsia="宋体" w:hAnsi="宋体"/>
          <w:b/>
          <w:sz w:val="21"/>
          <w:szCs w:val="21"/>
        </w:rPr>
        <w:fldChar w:fldCharType="end"/>
      </w:r>
      <w:r>
        <w:rPr>
          <w:rFonts w:ascii="宋体" w:eastAsia="宋体" w:hAnsi="宋体" w:hint="eastAsia"/>
          <w:b/>
          <w:sz w:val="21"/>
          <w:szCs w:val="21"/>
        </w:rPr>
        <w:t>：截至</w:t>
      </w:r>
      <w:r w:rsidR="00B33C4A">
        <w:rPr>
          <w:rFonts w:ascii="宋体" w:eastAsia="宋体" w:hAnsi="宋体" w:hint="eastAsia"/>
          <w:b/>
          <w:sz w:val="21"/>
          <w:szCs w:val="21"/>
        </w:rPr>
        <w:t>10</w:t>
      </w:r>
      <w:r>
        <w:rPr>
          <w:rFonts w:ascii="宋体" w:eastAsia="宋体" w:hAnsi="宋体" w:hint="eastAsia"/>
          <w:b/>
          <w:sz w:val="21"/>
          <w:szCs w:val="21"/>
        </w:rPr>
        <w:t>月</w:t>
      </w:r>
      <w:r w:rsidR="00B33C4A">
        <w:rPr>
          <w:rFonts w:ascii="宋体" w:eastAsia="宋体" w:hAnsi="宋体" w:hint="eastAsia"/>
          <w:b/>
          <w:sz w:val="21"/>
          <w:szCs w:val="21"/>
        </w:rPr>
        <w:t>27</w:t>
      </w:r>
      <w:r>
        <w:rPr>
          <w:rFonts w:ascii="宋体" w:eastAsia="宋体" w:hAnsi="宋体" w:hint="eastAsia"/>
          <w:b/>
          <w:sz w:val="21"/>
          <w:szCs w:val="21"/>
        </w:rPr>
        <w:t>日最近五个交易日公开市场操作统计</w:t>
      </w:r>
      <w:bookmarkEnd w:id="49"/>
      <w:bookmarkEnd w:id="50"/>
      <w:r>
        <w:rPr>
          <w:rFonts w:ascii="宋体" w:eastAsia="宋体" w:hAnsi="宋体"/>
          <w:sz w:val="21"/>
          <w:szCs w:val="21"/>
        </w:rPr>
        <w:t xml:space="preserve"> </w:t>
      </w:r>
    </w:p>
    <w:p w:rsidR="00937CC5" w:rsidRDefault="00937CC5">
      <w:pPr>
        <w:rPr>
          <w:rFonts w:eastAsia="宋体"/>
        </w:rPr>
      </w:pP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304"/>
        <w:gridCol w:w="1344"/>
        <w:gridCol w:w="1344"/>
        <w:gridCol w:w="1384"/>
        <w:gridCol w:w="1803"/>
      </w:tblGrid>
      <w:tr w:rsidR="00937CC5">
        <w:trPr>
          <w:trHeight w:val="514"/>
          <w:jc w:val="center"/>
        </w:trPr>
        <w:tc>
          <w:tcPr>
            <w:tcW w:w="1338" w:type="dxa"/>
            <w:shd w:val="clear" w:color="auto" w:fill="ED7D31"/>
            <w:vAlign w:val="center"/>
          </w:tcPr>
          <w:p w:rsidR="00937CC5" w:rsidRDefault="007A54EB">
            <w:pPr>
              <w:spacing w:before="100" w:beforeAutospacing="1" w:after="100" w:afterAutospacing="1"/>
              <w:jc w:val="center"/>
            </w:pPr>
            <w:r>
              <w:rPr>
                <w:rFonts w:hint="eastAsia"/>
              </w:rPr>
              <w:t>日期</w:t>
            </w:r>
          </w:p>
        </w:tc>
        <w:tc>
          <w:tcPr>
            <w:tcW w:w="1304" w:type="dxa"/>
            <w:shd w:val="clear" w:color="auto" w:fill="ED7D31"/>
            <w:vAlign w:val="center"/>
          </w:tcPr>
          <w:p w:rsidR="00937CC5" w:rsidRDefault="007A54EB">
            <w:pPr>
              <w:spacing w:before="100" w:beforeAutospacing="1" w:after="100" w:afterAutospacing="1"/>
              <w:jc w:val="center"/>
            </w:pPr>
            <w:r>
              <w:rPr>
                <w:rFonts w:hint="eastAsia"/>
              </w:rPr>
              <w:t>7</w:t>
            </w:r>
            <w:r>
              <w:rPr>
                <w:rFonts w:hint="eastAsia"/>
              </w:rPr>
              <w:t>天逆回购投放（亿元）</w:t>
            </w:r>
          </w:p>
        </w:tc>
        <w:tc>
          <w:tcPr>
            <w:tcW w:w="1344" w:type="dxa"/>
            <w:shd w:val="clear" w:color="auto" w:fill="ED7D31"/>
          </w:tcPr>
          <w:p w:rsidR="00937CC5" w:rsidRDefault="007A54EB">
            <w:pPr>
              <w:spacing w:before="100" w:beforeAutospacing="1" w:after="100" w:afterAutospacing="1"/>
              <w:jc w:val="center"/>
            </w:pPr>
            <w:r>
              <w:rPr>
                <w:rFonts w:hint="eastAsia"/>
              </w:rPr>
              <w:t>14</w:t>
            </w:r>
            <w:r>
              <w:rPr>
                <w:rFonts w:hint="eastAsia"/>
              </w:rPr>
              <w:t>天逆回购投放（亿元）</w:t>
            </w:r>
          </w:p>
        </w:tc>
        <w:tc>
          <w:tcPr>
            <w:tcW w:w="1344" w:type="dxa"/>
            <w:shd w:val="clear" w:color="auto" w:fill="ED7D31"/>
          </w:tcPr>
          <w:p w:rsidR="00937CC5" w:rsidRDefault="007A54EB">
            <w:pPr>
              <w:spacing w:before="100" w:beforeAutospacing="1" w:after="100" w:afterAutospacing="1"/>
              <w:jc w:val="center"/>
            </w:pPr>
            <w:r>
              <w:rPr>
                <w:rFonts w:hint="eastAsia"/>
              </w:rPr>
              <w:t>28</w:t>
            </w:r>
            <w:r>
              <w:rPr>
                <w:rFonts w:hint="eastAsia"/>
              </w:rPr>
              <w:t>天逆回购投放（亿元）</w:t>
            </w:r>
          </w:p>
        </w:tc>
        <w:tc>
          <w:tcPr>
            <w:tcW w:w="1384" w:type="dxa"/>
            <w:shd w:val="clear" w:color="auto" w:fill="ED7D31"/>
          </w:tcPr>
          <w:p w:rsidR="00937CC5" w:rsidRDefault="007A54EB">
            <w:pPr>
              <w:spacing w:before="100" w:beforeAutospacing="1" w:after="100" w:afterAutospacing="1"/>
              <w:jc w:val="center"/>
            </w:pPr>
            <w:r>
              <w:rPr>
                <w:rFonts w:hint="eastAsia"/>
              </w:rPr>
              <w:t>逆回购到期（亿元）</w:t>
            </w:r>
          </w:p>
        </w:tc>
        <w:tc>
          <w:tcPr>
            <w:tcW w:w="1803" w:type="dxa"/>
            <w:shd w:val="clear" w:color="auto" w:fill="ED7D31"/>
            <w:vAlign w:val="center"/>
          </w:tcPr>
          <w:p w:rsidR="00937CC5" w:rsidRDefault="007A54EB">
            <w:pPr>
              <w:spacing w:before="100" w:beforeAutospacing="1" w:after="100" w:afterAutospacing="1"/>
              <w:jc w:val="center"/>
            </w:pPr>
            <w:r>
              <w:rPr>
                <w:rFonts w:hint="eastAsia"/>
              </w:rPr>
              <w:t>资金净投放额（亿元）</w:t>
            </w:r>
          </w:p>
        </w:tc>
      </w:tr>
      <w:tr w:rsidR="00937CC5">
        <w:trPr>
          <w:trHeight w:val="245"/>
          <w:jc w:val="center"/>
        </w:trPr>
        <w:tc>
          <w:tcPr>
            <w:tcW w:w="1338" w:type="dxa"/>
          </w:tcPr>
          <w:p w:rsidR="00937CC5" w:rsidRDefault="007A54EB">
            <w:pPr>
              <w:jc w:val="center"/>
            </w:pPr>
            <w:bookmarkStart w:id="51" w:name="OLE_LINK1"/>
            <w:bookmarkStart w:id="52" w:name="OLE_LINK2"/>
            <w:bookmarkStart w:id="53" w:name="OLE_LINK3"/>
            <w:bookmarkStart w:id="54" w:name="OLE_LINK4"/>
            <w:bookmarkStart w:id="55" w:name="_Hlk460590792"/>
            <w:r>
              <w:rPr>
                <w:rFonts w:hint="eastAsia"/>
              </w:rPr>
              <w:t>2017-10-</w:t>
            </w:r>
            <w:r w:rsidR="00DB6DCF">
              <w:t>23</w:t>
            </w:r>
          </w:p>
        </w:tc>
        <w:tc>
          <w:tcPr>
            <w:tcW w:w="1304" w:type="dxa"/>
            <w:vAlign w:val="center"/>
          </w:tcPr>
          <w:p w:rsidR="00937CC5" w:rsidRDefault="00DB6DCF">
            <w:pPr>
              <w:jc w:val="center"/>
            </w:pPr>
            <w:r>
              <w:t>1100</w:t>
            </w:r>
          </w:p>
        </w:tc>
        <w:tc>
          <w:tcPr>
            <w:tcW w:w="1344" w:type="dxa"/>
            <w:vAlign w:val="center"/>
          </w:tcPr>
          <w:p w:rsidR="00937CC5" w:rsidRDefault="00DB6DCF">
            <w:pPr>
              <w:jc w:val="center"/>
            </w:pPr>
            <w:r>
              <w:t>90</w:t>
            </w:r>
            <w:r w:rsidR="007A54EB">
              <w:rPr>
                <w:rFonts w:hint="eastAsia"/>
              </w:rPr>
              <w:t>0</w:t>
            </w:r>
          </w:p>
        </w:tc>
        <w:tc>
          <w:tcPr>
            <w:tcW w:w="1344" w:type="dxa"/>
            <w:vAlign w:val="center"/>
          </w:tcPr>
          <w:p w:rsidR="00937CC5" w:rsidRDefault="007A54EB">
            <w:pPr>
              <w:jc w:val="center"/>
            </w:pPr>
            <w:r>
              <w:rPr>
                <w:rFonts w:hint="eastAsia"/>
              </w:rPr>
              <w:t>0</w:t>
            </w:r>
          </w:p>
        </w:tc>
        <w:tc>
          <w:tcPr>
            <w:tcW w:w="1384" w:type="dxa"/>
          </w:tcPr>
          <w:p w:rsidR="00937CC5" w:rsidRDefault="00DB6DCF">
            <w:pPr>
              <w:spacing w:before="100" w:beforeAutospacing="1" w:after="100" w:afterAutospacing="1"/>
              <w:jc w:val="center"/>
            </w:pPr>
            <w:r>
              <w:t>600</w:t>
            </w:r>
          </w:p>
        </w:tc>
        <w:tc>
          <w:tcPr>
            <w:tcW w:w="1803" w:type="dxa"/>
          </w:tcPr>
          <w:p w:rsidR="00937CC5" w:rsidRDefault="00DB6DCF">
            <w:pPr>
              <w:spacing w:before="100" w:beforeAutospacing="1" w:after="100" w:afterAutospacing="1"/>
              <w:jc w:val="center"/>
            </w:pPr>
            <w:r>
              <w:t>1400</w:t>
            </w:r>
          </w:p>
        </w:tc>
      </w:tr>
      <w:bookmarkEnd w:id="51"/>
      <w:bookmarkEnd w:id="52"/>
      <w:bookmarkEnd w:id="53"/>
      <w:bookmarkEnd w:id="54"/>
      <w:bookmarkEnd w:id="55"/>
      <w:tr w:rsidR="00937CC5">
        <w:trPr>
          <w:trHeight w:val="96"/>
          <w:jc w:val="center"/>
        </w:trPr>
        <w:tc>
          <w:tcPr>
            <w:tcW w:w="1338" w:type="dxa"/>
            <w:vAlign w:val="center"/>
          </w:tcPr>
          <w:p w:rsidR="00937CC5" w:rsidRDefault="00DB6DCF">
            <w:pPr>
              <w:spacing w:before="100" w:beforeAutospacing="1" w:after="100" w:afterAutospacing="1"/>
              <w:jc w:val="center"/>
            </w:pPr>
            <w:r>
              <w:rPr>
                <w:rFonts w:hint="eastAsia"/>
              </w:rPr>
              <w:t>2017-10-24</w:t>
            </w:r>
          </w:p>
        </w:tc>
        <w:tc>
          <w:tcPr>
            <w:tcW w:w="1304" w:type="dxa"/>
          </w:tcPr>
          <w:p w:rsidR="00937CC5" w:rsidRDefault="00DB6DCF">
            <w:pPr>
              <w:jc w:val="center"/>
            </w:pPr>
            <w:r>
              <w:t>1300</w:t>
            </w:r>
          </w:p>
        </w:tc>
        <w:tc>
          <w:tcPr>
            <w:tcW w:w="1344" w:type="dxa"/>
          </w:tcPr>
          <w:p w:rsidR="00937CC5" w:rsidRDefault="00DB6DCF">
            <w:pPr>
              <w:jc w:val="center"/>
            </w:pPr>
            <w:r>
              <w:t>1200</w:t>
            </w:r>
          </w:p>
        </w:tc>
        <w:tc>
          <w:tcPr>
            <w:tcW w:w="1344" w:type="dxa"/>
          </w:tcPr>
          <w:p w:rsidR="00937CC5" w:rsidRDefault="007A54EB">
            <w:pPr>
              <w:jc w:val="center"/>
            </w:pPr>
            <w:r>
              <w:rPr>
                <w:rFonts w:hint="eastAsia"/>
              </w:rPr>
              <w:t>0</w:t>
            </w:r>
          </w:p>
        </w:tc>
        <w:tc>
          <w:tcPr>
            <w:tcW w:w="1384" w:type="dxa"/>
          </w:tcPr>
          <w:p w:rsidR="00937CC5" w:rsidRDefault="00DB6DCF">
            <w:pPr>
              <w:spacing w:before="100" w:beforeAutospacing="1" w:after="100" w:afterAutospacing="1"/>
              <w:jc w:val="center"/>
            </w:pPr>
            <w:r>
              <w:t>1100</w:t>
            </w:r>
          </w:p>
        </w:tc>
        <w:tc>
          <w:tcPr>
            <w:tcW w:w="1803" w:type="dxa"/>
          </w:tcPr>
          <w:p w:rsidR="00937CC5" w:rsidRDefault="00DB6DCF">
            <w:pPr>
              <w:spacing w:before="100" w:beforeAutospacing="1" w:after="100" w:afterAutospacing="1"/>
              <w:jc w:val="center"/>
            </w:pPr>
            <w:r>
              <w:t>1400</w:t>
            </w:r>
          </w:p>
        </w:tc>
      </w:tr>
      <w:tr w:rsidR="00937CC5">
        <w:trPr>
          <w:trHeight w:val="96"/>
          <w:jc w:val="center"/>
        </w:trPr>
        <w:tc>
          <w:tcPr>
            <w:tcW w:w="1338" w:type="dxa"/>
            <w:vAlign w:val="center"/>
          </w:tcPr>
          <w:p w:rsidR="00937CC5" w:rsidRDefault="00DB6DCF">
            <w:pPr>
              <w:tabs>
                <w:tab w:val="left" w:pos="448"/>
              </w:tabs>
              <w:spacing w:before="100" w:beforeAutospacing="1" w:after="100" w:afterAutospacing="1"/>
              <w:jc w:val="center"/>
            </w:pPr>
            <w:r>
              <w:rPr>
                <w:rFonts w:hint="eastAsia"/>
              </w:rPr>
              <w:lastRenderedPageBreak/>
              <w:t>2017-10-25</w:t>
            </w:r>
          </w:p>
        </w:tc>
        <w:tc>
          <w:tcPr>
            <w:tcW w:w="1304" w:type="dxa"/>
          </w:tcPr>
          <w:p w:rsidR="00937CC5" w:rsidRDefault="00CE4957">
            <w:pPr>
              <w:jc w:val="center"/>
            </w:pPr>
            <w:r>
              <w:t>1000</w:t>
            </w:r>
          </w:p>
        </w:tc>
        <w:tc>
          <w:tcPr>
            <w:tcW w:w="1344" w:type="dxa"/>
          </w:tcPr>
          <w:p w:rsidR="00937CC5" w:rsidRDefault="00CE4957">
            <w:pPr>
              <w:jc w:val="center"/>
            </w:pPr>
            <w:r>
              <w:t>600</w:t>
            </w:r>
          </w:p>
        </w:tc>
        <w:tc>
          <w:tcPr>
            <w:tcW w:w="1344" w:type="dxa"/>
          </w:tcPr>
          <w:p w:rsidR="00937CC5" w:rsidRDefault="007A54EB">
            <w:pPr>
              <w:jc w:val="center"/>
            </w:pPr>
            <w:r>
              <w:rPr>
                <w:rFonts w:hint="eastAsia"/>
              </w:rPr>
              <w:t>0</w:t>
            </w:r>
          </w:p>
        </w:tc>
        <w:tc>
          <w:tcPr>
            <w:tcW w:w="1384" w:type="dxa"/>
          </w:tcPr>
          <w:p w:rsidR="00937CC5" w:rsidRDefault="00981DCE">
            <w:pPr>
              <w:spacing w:before="100" w:beforeAutospacing="1" w:after="100" w:afterAutospacing="1"/>
              <w:jc w:val="center"/>
            </w:pPr>
            <w:r>
              <w:t>1600</w:t>
            </w:r>
          </w:p>
        </w:tc>
        <w:tc>
          <w:tcPr>
            <w:tcW w:w="1803" w:type="dxa"/>
          </w:tcPr>
          <w:p w:rsidR="00937CC5" w:rsidRDefault="00981DCE">
            <w:pPr>
              <w:spacing w:before="100" w:beforeAutospacing="1" w:after="100" w:afterAutospacing="1"/>
              <w:jc w:val="center"/>
            </w:pPr>
            <w:r>
              <w:t>0</w:t>
            </w:r>
          </w:p>
        </w:tc>
      </w:tr>
      <w:tr w:rsidR="00937CC5">
        <w:trPr>
          <w:trHeight w:val="96"/>
          <w:jc w:val="center"/>
        </w:trPr>
        <w:tc>
          <w:tcPr>
            <w:tcW w:w="1338" w:type="dxa"/>
            <w:vAlign w:val="center"/>
          </w:tcPr>
          <w:p w:rsidR="00937CC5" w:rsidRDefault="00DB6DCF">
            <w:pPr>
              <w:spacing w:before="100" w:beforeAutospacing="1" w:after="100" w:afterAutospacing="1"/>
              <w:jc w:val="center"/>
            </w:pPr>
            <w:r>
              <w:rPr>
                <w:rFonts w:hint="eastAsia"/>
              </w:rPr>
              <w:t>2017-10-26</w:t>
            </w:r>
          </w:p>
        </w:tc>
        <w:tc>
          <w:tcPr>
            <w:tcW w:w="1304" w:type="dxa"/>
          </w:tcPr>
          <w:p w:rsidR="00937CC5" w:rsidRDefault="007A54EB">
            <w:pPr>
              <w:jc w:val="center"/>
            </w:pPr>
            <w:r>
              <w:rPr>
                <w:rFonts w:hint="eastAsia"/>
              </w:rPr>
              <w:t>800</w:t>
            </w:r>
          </w:p>
        </w:tc>
        <w:tc>
          <w:tcPr>
            <w:tcW w:w="1344" w:type="dxa"/>
          </w:tcPr>
          <w:p w:rsidR="00937CC5" w:rsidRDefault="00981DCE">
            <w:pPr>
              <w:jc w:val="center"/>
            </w:pPr>
            <w:r>
              <w:t>400</w:t>
            </w:r>
          </w:p>
        </w:tc>
        <w:tc>
          <w:tcPr>
            <w:tcW w:w="1344" w:type="dxa"/>
          </w:tcPr>
          <w:p w:rsidR="00937CC5" w:rsidRDefault="007A54EB">
            <w:pPr>
              <w:jc w:val="center"/>
            </w:pPr>
            <w:r>
              <w:rPr>
                <w:rFonts w:hint="eastAsia"/>
              </w:rPr>
              <w:t>0</w:t>
            </w:r>
          </w:p>
        </w:tc>
        <w:tc>
          <w:tcPr>
            <w:tcW w:w="1384" w:type="dxa"/>
          </w:tcPr>
          <w:p w:rsidR="00937CC5" w:rsidRDefault="00981DCE">
            <w:pPr>
              <w:spacing w:before="100" w:beforeAutospacing="1" w:after="100" w:afterAutospacing="1"/>
              <w:jc w:val="center"/>
            </w:pPr>
            <w:r>
              <w:t>1000</w:t>
            </w:r>
          </w:p>
        </w:tc>
        <w:tc>
          <w:tcPr>
            <w:tcW w:w="1803" w:type="dxa"/>
          </w:tcPr>
          <w:p w:rsidR="00937CC5" w:rsidRDefault="00981DCE">
            <w:pPr>
              <w:spacing w:before="100" w:beforeAutospacing="1" w:after="100" w:afterAutospacing="1"/>
              <w:jc w:val="center"/>
            </w:pPr>
            <w:r>
              <w:t>200</w:t>
            </w:r>
          </w:p>
        </w:tc>
      </w:tr>
      <w:tr w:rsidR="00937CC5">
        <w:trPr>
          <w:trHeight w:val="96"/>
          <w:jc w:val="center"/>
        </w:trPr>
        <w:tc>
          <w:tcPr>
            <w:tcW w:w="1338" w:type="dxa"/>
            <w:vAlign w:val="center"/>
          </w:tcPr>
          <w:p w:rsidR="00937CC5" w:rsidRDefault="00DB6DCF">
            <w:pPr>
              <w:spacing w:before="100" w:beforeAutospacing="1" w:after="100" w:afterAutospacing="1"/>
              <w:jc w:val="center"/>
            </w:pPr>
            <w:r>
              <w:rPr>
                <w:rFonts w:hint="eastAsia"/>
              </w:rPr>
              <w:t>2017-10-27</w:t>
            </w:r>
          </w:p>
        </w:tc>
        <w:tc>
          <w:tcPr>
            <w:tcW w:w="1304" w:type="dxa"/>
          </w:tcPr>
          <w:p w:rsidR="00937CC5" w:rsidRDefault="00981DCE">
            <w:pPr>
              <w:jc w:val="center"/>
            </w:pPr>
            <w:r>
              <w:t>600</w:t>
            </w:r>
          </w:p>
        </w:tc>
        <w:tc>
          <w:tcPr>
            <w:tcW w:w="1344" w:type="dxa"/>
          </w:tcPr>
          <w:p w:rsidR="00937CC5" w:rsidRDefault="007A54EB">
            <w:pPr>
              <w:jc w:val="center"/>
            </w:pPr>
            <w:r>
              <w:rPr>
                <w:rFonts w:hint="eastAsia"/>
              </w:rPr>
              <w:t>300</w:t>
            </w:r>
          </w:p>
        </w:tc>
        <w:tc>
          <w:tcPr>
            <w:tcW w:w="1344" w:type="dxa"/>
          </w:tcPr>
          <w:p w:rsidR="00937CC5" w:rsidRDefault="007A54EB">
            <w:pPr>
              <w:jc w:val="center"/>
            </w:pPr>
            <w:r>
              <w:rPr>
                <w:rFonts w:hint="eastAsia"/>
              </w:rPr>
              <w:t>0</w:t>
            </w:r>
          </w:p>
        </w:tc>
        <w:tc>
          <w:tcPr>
            <w:tcW w:w="1384" w:type="dxa"/>
          </w:tcPr>
          <w:p w:rsidR="00937CC5" w:rsidRDefault="00981DCE">
            <w:pPr>
              <w:spacing w:before="100" w:beforeAutospacing="1" w:after="100" w:afterAutospacing="1"/>
              <w:jc w:val="center"/>
            </w:pPr>
            <w:r>
              <w:t>500</w:t>
            </w:r>
          </w:p>
        </w:tc>
        <w:tc>
          <w:tcPr>
            <w:tcW w:w="1803" w:type="dxa"/>
          </w:tcPr>
          <w:p w:rsidR="00937CC5" w:rsidRDefault="00981DCE">
            <w:pPr>
              <w:spacing w:before="100" w:beforeAutospacing="1" w:after="100" w:afterAutospacing="1"/>
              <w:jc w:val="center"/>
            </w:pPr>
            <w:r>
              <w:t>900</w:t>
            </w:r>
          </w:p>
        </w:tc>
      </w:tr>
      <w:tr w:rsidR="00937CC5">
        <w:trPr>
          <w:trHeight w:val="96"/>
          <w:jc w:val="center"/>
        </w:trPr>
        <w:tc>
          <w:tcPr>
            <w:tcW w:w="1338" w:type="dxa"/>
            <w:vAlign w:val="center"/>
          </w:tcPr>
          <w:p w:rsidR="00937CC5" w:rsidRDefault="007A54EB">
            <w:pPr>
              <w:spacing w:before="100" w:beforeAutospacing="1" w:after="100" w:afterAutospacing="1"/>
              <w:jc w:val="center"/>
            </w:pPr>
            <w:r>
              <w:rPr>
                <w:rFonts w:hint="eastAsia"/>
              </w:rPr>
              <w:t>合计</w:t>
            </w:r>
          </w:p>
        </w:tc>
        <w:tc>
          <w:tcPr>
            <w:tcW w:w="1304" w:type="dxa"/>
          </w:tcPr>
          <w:p w:rsidR="00937CC5" w:rsidRDefault="00981DCE">
            <w:pPr>
              <w:jc w:val="center"/>
            </w:pPr>
            <w:r>
              <w:t>4800</w:t>
            </w:r>
          </w:p>
        </w:tc>
        <w:tc>
          <w:tcPr>
            <w:tcW w:w="1344" w:type="dxa"/>
          </w:tcPr>
          <w:p w:rsidR="00937CC5" w:rsidRDefault="00981DCE">
            <w:pPr>
              <w:jc w:val="center"/>
            </w:pPr>
            <w:r>
              <w:rPr>
                <w:rFonts w:hint="eastAsia"/>
              </w:rPr>
              <w:t>34</w:t>
            </w:r>
            <w:r w:rsidR="007A54EB">
              <w:rPr>
                <w:rFonts w:hint="eastAsia"/>
              </w:rPr>
              <w:t>00</w:t>
            </w:r>
          </w:p>
        </w:tc>
        <w:tc>
          <w:tcPr>
            <w:tcW w:w="1344" w:type="dxa"/>
          </w:tcPr>
          <w:p w:rsidR="00937CC5" w:rsidRDefault="007A54EB">
            <w:pPr>
              <w:jc w:val="center"/>
            </w:pPr>
            <w:r>
              <w:rPr>
                <w:rFonts w:hint="eastAsia"/>
              </w:rPr>
              <w:t>0</w:t>
            </w:r>
          </w:p>
        </w:tc>
        <w:tc>
          <w:tcPr>
            <w:tcW w:w="1384" w:type="dxa"/>
          </w:tcPr>
          <w:p w:rsidR="00937CC5" w:rsidRDefault="00981DCE">
            <w:pPr>
              <w:spacing w:before="100" w:beforeAutospacing="1" w:after="100" w:afterAutospacing="1"/>
              <w:jc w:val="center"/>
            </w:pPr>
            <w:r>
              <w:t>4800</w:t>
            </w:r>
          </w:p>
        </w:tc>
        <w:tc>
          <w:tcPr>
            <w:tcW w:w="1803" w:type="dxa"/>
          </w:tcPr>
          <w:p w:rsidR="00937CC5" w:rsidRDefault="00981DCE">
            <w:pPr>
              <w:spacing w:before="100" w:beforeAutospacing="1" w:after="100" w:afterAutospacing="1"/>
              <w:jc w:val="center"/>
            </w:pPr>
            <w:r>
              <w:t>3900</w:t>
            </w:r>
          </w:p>
        </w:tc>
      </w:tr>
    </w:tbl>
    <w:p w:rsidR="00937CC5" w:rsidRDefault="007A54EB">
      <w:pPr>
        <w:pStyle w:val="3"/>
      </w:pPr>
      <w:bookmarkStart w:id="56" w:name="_Toc494020673"/>
      <w:r>
        <w:rPr>
          <w:rFonts w:hint="eastAsia"/>
        </w:rPr>
        <w:t xml:space="preserve">4.2 </w:t>
      </w:r>
      <w:r>
        <w:rPr>
          <w:rFonts w:hint="eastAsia"/>
        </w:rPr>
        <w:t>上海银行间拆借利率（</w:t>
      </w:r>
      <w:proofErr w:type="spellStart"/>
      <w:r>
        <w:rPr>
          <w:rFonts w:hint="eastAsia"/>
        </w:rPr>
        <w:t>Shibor</w:t>
      </w:r>
      <w:proofErr w:type="spellEnd"/>
      <w:r>
        <w:rPr>
          <w:rFonts w:hint="eastAsia"/>
        </w:rPr>
        <w:t>）</w:t>
      </w:r>
      <w:bookmarkEnd w:id="56"/>
      <w:r>
        <w:rPr>
          <w:rFonts w:hint="eastAsia"/>
        </w:rPr>
        <w:t xml:space="preserve">       </w:t>
      </w:r>
    </w:p>
    <w:p w:rsidR="00937CC5" w:rsidRDefault="007A54EB">
      <w:pPr>
        <w:pStyle w:val="a3"/>
        <w:rPr>
          <w:rFonts w:ascii="Times New Roman" w:eastAsia="华文楷体" w:hAnsi="Times New Roman"/>
          <w:sz w:val="21"/>
        </w:rPr>
      </w:pPr>
      <w:r>
        <w:rPr>
          <w:rFonts w:ascii="Times New Roman" w:eastAsia="华文楷体" w:hAnsi="Times New Roman" w:hint="eastAsia"/>
          <w:sz w:val="21"/>
        </w:rPr>
        <w:t>截至</w:t>
      </w:r>
      <w:r>
        <w:rPr>
          <w:rFonts w:ascii="Times New Roman" w:eastAsia="华文楷体" w:hAnsi="Times New Roman" w:hint="eastAsia"/>
          <w:sz w:val="21"/>
        </w:rPr>
        <w:t>10</w:t>
      </w:r>
      <w:r>
        <w:rPr>
          <w:rFonts w:ascii="Times New Roman" w:eastAsia="华文楷体" w:hAnsi="Times New Roman" w:hint="eastAsia"/>
          <w:sz w:val="21"/>
        </w:rPr>
        <w:t>月</w:t>
      </w:r>
      <w:r w:rsidR="00F52E1D">
        <w:rPr>
          <w:rFonts w:ascii="Times New Roman" w:eastAsia="华文楷体" w:hAnsi="Times New Roman" w:hint="eastAsia"/>
          <w:sz w:val="21"/>
        </w:rPr>
        <w:t>27</w:t>
      </w:r>
      <w:r>
        <w:rPr>
          <w:rFonts w:ascii="Times New Roman" w:eastAsia="华文楷体" w:hAnsi="Times New Roman" w:hint="eastAsia"/>
          <w:sz w:val="21"/>
        </w:rPr>
        <w:t>日，</w:t>
      </w:r>
      <w:r>
        <w:rPr>
          <w:rFonts w:ascii="Times New Roman" w:eastAsia="华文楷体" w:hAnsi="Times New Roman" w:hint="eastAsia"/>
          <w:sz w:val="21"/>
        </w:rPr>
        <w:t>SHIBOR</w:t>
      </w:r>
      <w:r>
        <w:rPr>
          <w:rFonts w:ascii="Times New Roman" w:eastAsia="华文楷体" w:hAnsi="Times New Roman" w:hint="eastAsia"/>
          <w:sz w:val="21"/>
        </w:rPr>
        <w:t>隔夜利率为</w:t>
      </w:r>
      <w:r>
        <w:rPr>
          <w:rFonts w:ascii="Times New Roman" w:eastAsia="华文楷体" w:hAnsi="Times New Roman"/>
          <w:sz w:val="21"/>
        </w:rPr>
        <w:t>2.</w:t>
      </w:r>
      <w:r w:rsidR="00E56432">
        <w:rPr>
          <w:rFonts w:ascii="Times New Roman" w:eastAsia="华文楷体" w:hAnsi="Times New Roman"/>
          <w:sz w:val="21"/>
        </w:rPr>
        <w:t>7181</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7</w:t>
      </w:r>
      <w:r>
        <w:rPr>
          <w:rFonts w:ascii="Times New Roman" w:eastAsia="华文楷体" w:hAnsi="Times New Roman" w:hint="eastAsia"/>
          <w:sz w:val="21"/>
        </w:rPr>
        <w:t>天利率为</w:t>
      </w:r>
      <w:r>
        <w:rPr>
          <w:rFonts w:ascii="Times New Roman" w:eastAsia="华文楷体" w:hAnsi="Times New Roman"/>
          <w:sz w:val="21"/>
        </w:rPr>
        <w:t>2.</w:t>
      </w:r>
      <w:r>
        <w:rPr>
          <w:rFonts w:ascii="Times New Roman" w:eastAsia="华文楷体" w:hAnsi="Times New Roman" w:hint="eastAsia"/>
          <w:sz w:val="21"/>
        </w:rPr>
        <w:t>8</w:t>
      </w:r>
      <w:r w:rsidR="00E56432">
        <w:rPr>
          <w:rFonts w:ascii="Times New Roman" w:eastAsia="华文楷体" w:hAnsi="Times New Roman"/>
          <w:sz w:val="21"/>
        </w:rPr>
        <w:t>788</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14</w:t>
      </w:r>
      <w:r>
        <w:rPr>
          <w:rFonts w:ascii="Times New Roman" w:eastAsia="华文楷体" w:hAnsi="Times New Roman" w:hint="eastAsia"/>
          <w:sz w:val="21"/>
        </w:rPr>
        <w:t>天利率为</w:t>
      </w:r>
      <w:r>
        <w:rPr>
          <w:rFonts w:ascii="Times New Roman" w:eastAsia="华文楷体" w:hAnsi="Times New Roman"/>
          <w:sz w:val="21"/>
        </w:rPr>
        <w:t>3.</w:t>
      </w:r>
      <w:r w:rsidR="00E56432">
        <w:rPr>
          <w:rFonts w:ascii="Times New Roman" w:eastAsia="华文楷体" w:hAnsi="Times New Roman"/>
          <w:sz w:val="21"/>
        </w:rPr>
        <w:t>8206</w:t>
      </w:r>
      <w:r>
        <w:rPr>
          <w:rFonts w:ascii="Times New Roman" w:eastAsia="华文楷体" w:hAnsi="Times New Roman" w:hint="eastAsia"/>
          <w:sz w:val="21"/>
        </w:rPr>
        <w:t>%</w:t>
      </w:r>
      <w:r>
        <w:rPr>
          <w:rFonts w:ascii="Times New Roman" w:eastAsia="华文楷体" w:hAnsi="Times New Roman" w:hint="eastAsia"/>
          <w:sz w:val="21"/>
        </w:rPr>
        <w:t>，一个月利率为</w:t>
      </w:r>
      <w:r>
        <w:rPr>
          <w:rFonts w:ascii="Times New Roman" w:eastAsia="华文楷体" w:hAnsi="Times New Roman" w:hint="eastAsia"/>
          <w:sz w:val="21"/>
        </w:rPr>
        <w:t>4.</w:t>
      </w:r>
      <w:r w:rsidR="00E56432">
        <w:rPr>
          <w:rFonts w:ascii="Times New Roman" w:eastAsia="华文楷体" w:hAnsi="Times New Roman"/>
          <w:sz w:val="21"/>
        </w:rPr>
        <w:t>0194</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3</w:t>
      </w:r>
      <w:r>
        <w:rPr>
          <w:rFonts w:ascii="Times New Roman" w:eastAsia="华文楷体" w:hAnsi="Times New Roman" w:hint="eastAsia"/>
          <w:sz w:val="21"/>
        </w:rPr>
        <w:t>个月利率</w:t>
      </w:r>
      <w:r>
        <w:rPr>
          <w:rFonts w:ascii="Times New Roman" w:eastAsia="华文楷体" w:hAnsi="Times New Roman"/>
          <w:sz w:val="21"/>
        </w:rPr>
        <w:t>4.</w:t>
      </w:r>
      <w:r>
        <w:rPr>
          <w:rFonts w:ascii="Times New Roman" w:eastAsia="华文楷体" w:hAnsi="Times New Roman" w:hint="eastAsia"/>
          <w:sz w:val="21"/>
        </w:rPr>
        <w:t>3</w:t>
      </w:r>
      <w:r w:rsidR="00E56432">
        <w:rPr>
          <w:rFonts w:ascii="Times New Roman" w:eastAsia="华文楷体" w:hAnsi="Times New Roman"/>
          <w:sz w:val="21"/>
        </w:rPr>
        <w:t>901</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6</w:t>
      </w:r>
      <w:r>
        <w:rPr>
          <w:rFonts w:ascii="Times New Roman" w:eastAsia="华文楷体" w:hAnsi="Times New Roman" w:hint="eastAsia"/>
          <w:sz w:val="21"/>
        </w:rPr>
        <w:t>个月利率</w:t>
      </w:r>
      <w:r>
        <w:rPr>
          <w:rFonts w:ascii="Times New Roman" w:eastAsia="华文楷体" w:hAnsi="Times New Roman"/>
          <w:sz w:val="21"/>
        </w:rPr>
        <w:t>4.</w:t>
      </w:r>
      <w:r>
        <w:rPr>
          <w:rFonts w:ascii="Times New Roman" w:eastAsia="华文楷体" w:hAnsi="Times New Roman" w:hint="eastAsia"/>
          <w:sz w:val="21"/>
        </w:rPr>
        <w:t>3</w:t>
      </w:r>
      <w:r w:rsidR="00E56432">
        <w:rPr>
          <w:rFonts w:ascii="Times New Roman" w:eastAsia="华文楷体" w:hAnsi="Times New Roman"/>
          <w:sz w:val="21"/>
        </w:rPr>
        <w:t>926</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9</w:t>
      </w:r>
      <w:r>
        <w:rPr>
          <w:rFonts w:ascii="Times New Roman" w:eastAsia="华文楷体" w:hAnsi="Times New Roman" w:hint="eastAsia"/>
          <w:sz w:val="21"/>
        </w:rPr>
        <w:t>个月利率</w:t>
      </w:r>
      <w:r>
        <w:rPr>
          <w:rFonts w:ascii="Times New Roman" w:eastAsia="华文楷体" w:hAnsi="Times New Roman"/>
          <w:sz w:val="21"/>
        </w:rPr>
        <w:t>4.</w:t>
      </w:r>
      <w:r w:rsidR="00E56432">
        <w:rPr>
          <w:rFonts w:ascii="Times New Roman" w:eastAsia="华文楷体" w:hAnsi="Times New Roman"/>
          <w:sz w:val="21"/>
        </w:rPr>
        <w:t>4001</w:t>
      </w:r>
      <w:r>
        <w:rPr>
          <w:rFonts w:ascii="Times New Roman" w:eastAsia="华文楷体" w:hAnsi="Times New Roman" w:hint="eastAsia"/>
          <w:sz w:val="21"/>
        </w:rPr>
        <w:t>%</w:t>
      </w:r>
      <w:r>
        <w:rPr>
          <w:rFonts w:ascii="Times New Roman" w:eastAsia="华文楷体" w:hAnsi="Times New Roman" w:hint="eastAsia"/>
          <w:sz w:val="21"/>
        </w:rPr>
        <w:t>，</w:t>
      </w:r>
      <w:r>
        <w:rPr>
          <w:rFonts w:ascii="Times New Roman" w:eastAsia="华文楷体" w:hAnsi="Times New Roman" w:hint="eastAsia"/>
          <w:sz w:val="21"/>
        </w:rPr>
        <w:t>1</w:t>
      </w:r>
      <w:r>
        <w:rPr>
          <w:rFonts w:ascii="Times New Roman" w:eastAsia="华文楷体" w:hAnsi="Times New Roman" w:hint="eastAsia"/>
          <w:sz w:val="21"/>
        </w:rPr>
        <w:t>年期利率</w:t>
      </w:r>
      <w:r>
        <w:rPr>
          <w:rFonts w:ascii="Times New Roman" w:eastAsia="华文楷体" w:hAnsi="Times New Roman"/>
          <w:sz w:val="21"/>
        </w:rPr>
        <w:t>4.</w:t>
      </w:r>
      <w:r>
        <w:rPr>
          <w:rFonts w:ascii="Times New Roman" w:eastAsia="华文楷体" w:hAnsi="Times New Roman" w:hint="eastAsia"/>
          <w:sz w:val="21"/>
        </w:rPr>
        <w:t>40</w:t>
      </w:r>
      <w:r w:rsidR="00E56432">
        <w:rPr>
          <w:rFonts w:ascii="Times New Roman" w:eastAsia="华文楷体" w:hAnsi="Times New Roman"/>
          <w:sz w:val="21"/>
        </w:rPr>
        <w:t>45</w:t>
      </w:r>
      <w:r>
        <w:rPr>
          <w:rFonts w:ascii="Times New Roman" w:eastAsia="华文楷体" w:hAnsi="Times New Roman" w:hint="eastAsia"/>
          <w:sz w:val="21"/>
        </w:rPr>
        <w:t>%</w:t>
      </w:r>
      <w:r>
        <w:rPr>
          <w:rFonts w:ascii="Times New Roman" w:eastAsia="华文楷体" w:hAnsi="Times New Roman" w:hint="eastAsia"/>
          <w:sz w:val="21"/>
        </w:rPr>
        <w:t>，本周总体利率水平相比上周有所</w:t>
      </w:r>
      <w:r w:rsidR="00E56432">
        <w:rPr>
          <w:rFonts w:ascii="Times New Roman" w:eastAsia="华文楷体" w:hAnsi="Times New Roman" w:hint="eastAsia"/>
          <w:sz w:val="21"/>
        </w:rPr>
        <w:t>上调</w:t>
      </w:r>
      <w:r>
        <w:rPr>
          <w:rFonts w:ascii="Times New Roman" w:eastAsia="华文楷体" w:hAnsi="Times New Roman" w:hint="eastAsia"/>
          <w:sz w:val="21"/>
        </w:rPr>
        <w:t>。</w:t>
      </w:r>
    </w:p>
    <w:p w:rsidR="00937CC5" w:rsidRDefault="007A54EB">
      <w:pPr>
        <w:pStyle w:val="3"/>
      </w:pPr>
      <w:bookmarkStart w:id="57" w:name="_Toc494020674"/>
      <w:r>
        <w:rPr>
          <w:rFonts w:hint="eastAsia"/>
        </w:rPr>
        <w:t xml:space="preserve">4.3 </w:t>
      </w:r>
      <w:r>
        <w:rPr>
          <w:rFonts w:hint="eastAsia"/>
        </w:rPr>
        <w:t>融资融券余额</w:t>
      </w:r>
      <w:bookmarkEnd w:id="57"/>
    </w:p>
    <w:p w:rsidR="00937CC5" w:rsidRDefault="007A54EB">
      <w:r>
        <w:rPr>
          <w:rFonts w:hint="eastAsia"/>
        </w:rPr>
        <w:t>截至</w:t>
      </w:r>
      <w:r>
        <w:rPr>
          <w:rFonts w:hint="eastAsia"/>
        </w:rPr>
        <w:t>10</w:t>
      </w:r>
      <w:r>
        <w:rPr>
          <w:rFonts w:hint="eastAsia"/>
        </w:rPr>
        <w:t>月</w:t>
      </w:r>
      <w:r w:rsidR="00F52E1D">
        <w:t>27</w:t>
      </w:r>
      <w:r>
        <w:rPr>
          <w:rFonts w:hint="eastAsia"/>
        </w:rPr>
        <w:t>日，</w:t>
      </w:r>
      <w:r>
        <w:rPr>
          <w:rFonts w:hint="eastAsia"/>
        </w:rPr>
        <w:t>A</w:t>
      </w:r>
      <w:r>
        <w:rPr>
          <w:rFonts w:hint="eastAsia"/>
        </w:rPr>
        <w:t>股融资融券余额为</w:t>
      </w:r>
      <w:r>
        <w:rPr>
          <w:rFonts w:hint="eastAsia"/>
        </w:rPr>
        <w:t>9</w:t>
      </w:r>
      <w:r w:rsidR="00A728BE">
        <w:t>967.89</w:t>
      </w:r>
      <w:r>
        <w:rPr>
          <w:rFonts w:hint="eastAsia"/>
        </w:rPr>
        <w:t>亿元，较上周五</w:t>
      </w:r>
      <w:r w:rsidR="0042032E">
        <w:rPr>
          <w:rFonts w:hint="eastAsia"/>
        </w:rPr>
        <w:t>增加</w:t>
      </w:r>
      <w:r>
        <w:rPr>
          <w:rFonts w:hint="eastAsia"/>
        </w:rPr>
        <w:t>了</w:t>
      </w:r>
      <w:r w:rsidR="0042032E">
        <w:t>86.29</w:t>
      </w:r>
      <w:r>
        <w:rPr>
          <w:rFonts w:hint="eastAsia"/>
        </w:rPr>
        <w:t>亿元</w:t>
      </w:r>
      <w:bookmarkStart w:id="58" w:name="_Toc450560275"/>
      <w:r>
        <w:rPr>
          <w:rFonts w:hint="eastAsia"/>
        </w:rPr>
        <w:t>，周环比</w:t>
      </w:r>
      <w:r w:rsidR="0042032E">
        <w:rPr>
          <w:rFonts w:hint="eastAsia"/>
        </w:rPr>
        <w:t>上升</w:t>
      </w:r>
      <w:r>
        <w:rPr>
          <w:rFonts w:hint="eastAsia"/>
        </w:rPr>
        <w:t>1%</w:t>
      </w:r>
      <w:r>
        <w:rPr>
          <w:rFonts w:hint="eastAsia"/>
        </w:rPr>
        <w:t>。</w:t>
      </w:r>
    </w:p>
    <w:p w:rsidR="00937CC5" w:rsidRDefault="007A54EB" w:rsidP="00714B09">
      <w:pPr>
        <w:pStyle w:val="a3"/>
        <w:rPr>
          <w:rFonts w:ascii="宋体" w:eastAsia="宋体" w:hAnsi="宋体" w:cs="Arial"/>
          <w:b/>
          <w:color w:val="222222"/>
          <w:spacing w:val="15"/>
          <w:kern w:val="0"/>
          <w:sz w:val="21"/>
          <w:szCs w:val="21"/>
        </w:rPr>
      </w:pPr>
      <w:bookmarkStart w:id="59" w:name="_Toc492279110"/>
      <w:r>
        <w:rPr>
          <w:rFonts w:ascii="宋体" w:eastAsia="宋体" w:hAnsi="宋体" w:cs="Arial" w:hint="eastAsia"/>
          <w:b/>
          <w:color w:val="222222"/>
          <w:spacing w:val="15"/>
          <w:kern w:val="0"/>
          <w:sz w:val="21"/>
          <w:szCs w:val="21"/>
        </w:rPr>
        <w:t xml:space="preserve">图表 </w:t>
      </w:r>
      <w:r>
        <w:rPr>
          <w:rFonts w:ascii="宋体" w:eastAsia="宋体" w:hAnsi="宋体" w:cs="Arial"/>
          <w:b/>
          <w:color w:val="222222"/>
          <w:spacing w:val="15"/>
          <w:kern w:val="0"/>
          <w:sz w:val="21"/>
          <w:szCs w:val="21"/>
        </w:rPr>
        <w:fldChar w:fldCharType="begin"/>
      </w:r>
      <w:r>
        <w:rPr>
          <w:rFonts w:ascii="宋体" w:eastAsia="宋体" w:hAnsi="宋体" w:cs="Arial"/>
          <w:b/>
          <w:color w:val="222222"/>
          <w:spacing w:val="15"/>
          <w:kern w:val="0"/>
          <w:sz w:val="21"/>
          <w:szCs w:val="21"/>
        </w:rPr>
        <w:instrText xml:space="preserve"> </w:instrText>
      </w:r>
      <w:r>
        <w:rPr>
          <w:rFonts w:ascii="宋体" w:eastAsia="宋体" w:hAnsi="宋体" w:cs="Arial" w:hint="eastAsia"/>
          <w:b/>
          <w:color w:val="222222"/>
          <w:spacing w:val="15"/>
          <w:kern w:val="0"/>
          <w:sz w:val="21"/>
          <w:szCs w:val="21"/>
        </w:rPr>
        <w:instrText>SEQ 图表 \* ARABIC</w:instrText>
      </w:r>
      <w:r>
        <w:rPr>
          <w:rFonts w:ascii="宋体" w:eastAsia="宋体" w:hAnsi="宋体" w:cs="Arial"/>
          <w:b/>
          <w:color w:val="222222"/>
          <w:spacing w:val="15"/>
          <w:kern w:val="0"/>
          <w:sz w:val="21"/>
          <w:szCs w:val="21"/>
        </w:rPr>
        <w:instrText xml:space="preserve"> </w:instrText>
      </w:r>
      <w:r>
        <w:rPr>
          <w:rFonts w:ascii="宋体" w:eastAsia="宋体" w:hAnsi="宋体" w:cs="Arial"/>
          <w:b/>
          <w:color w:val="222222"/>
          <w:spacing w:val="15"/>
          <w:kern w:val="0"/>
          <w:sz w:val="21"/>
          <w:szCs w:val="21"/>
        </w:rPr>
        <w:fldChar w:fldCharType="separate"/>
      </w:r>
      <w:r>
        <w:rPr>
          <w:rFonts w:ascii="宋体" w:eastAsia="宋体" w:hAnsi="宋体" w:cs="Arial"/>
          <w:b/>
          <w:color w:val="222222"/>
          <w:spacing w:val="15"/>
          <w:kern w:val="0"/>
          <w:sz w:val="21"/>
          <w:szCs w:val="21"/>
        </w:rPr>
        <w:t>16</w:t>
      </w:r>
      <w:r>
        <w:rPr>
          <w:rFonts w:ascii="宋体" w:eastAsia="宋体" w:hAnsi="宋体" w:cs="Arial"/>
          <w:b/>
          <w:color w:val="222222"/>
          <w:spacing w:val="15"/>
          <w:kern w:val="0"/>
          <w:sz w:val="21"/>
          <w:szCs w:val="21"/>
        </w:rPr>
        <w:fldChar w:fldCharType="end"/>
      </w:r>
      <w:r>
        <w:rPr>
          <w:rFonts w:ascii="宋体" w:eastAsia="宋体" w:hAnsi="宋体" w:cs="Arial" w:hint="eastAsia"/>
          <w:b/>
          <w:color w:val="222222"/>
          <w:spacing w:val="15"/>
          <w:kern w:val="0"/>
          <w:sz w:val="21"/>
          <w:szCs w:val="21"/>
        </w:rPr>
        <w:t>：融资融券余额</w:t>
      </w:r>
      <w:bookmarkEnd w:id="58"/>
      <w:bookmarkEnd w:id="59"/>
    </w:p>
    <w:p w:rsidR="00937CC5" w:rsidRDefault="00B33C4A" w:rsidP="00BD66FD">
      <w:pPr>
        <w:jc w:val="center"/>
      </w:pPr>
      <w:r>
        <w:rPr>
          <w:noProof/>
        </w:rPr>
        <w:drawing>
          <wp:inline distT="0" distB="0" distL="0" distR="0" wp14:anchorId="2FE1EE4E">
            <wp:extent cx="5418938" cy="2147977"/>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1612" cy="2156965"/>
                    </a:xfrm>
                    <a:prstGeom prst="rect">
                      <a:avLst/>
                    </a:prstGeom>
                    <a:noFill/>
                  </pic:spPr>
                </pic:pic>
              </a:graphicData>
            </a:graphic>
          </wp:inline>
        </w:drawing>
      </w:r>
    </w:p>
    <w:p w:rsidR="00937CC5" w:rsidRDefault="007A54EB">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jc w:val="left"/>
        <w:rPr>
          <w:sz w:val="18"/>
          <w:szCs w:val="18"/>
        </w:rPr>
      </w:pPr>
    </w:p>
    <w:p w:rsidR="00937CC5" w:rsidRDefault="007A54EB">
      <w:pPr>
        <w:pStyle w:val="2"/>
        <w:rPr>
          <w:color w:val="000000"/>
        </w:rPr>
      </w:pPr>
      <w:bookmarkStart w:id="60" w:name="_Toc494020675"/>
      <w:r>
        <w:rPr>
          <w:rFonts w:hint="eastAsia"/>
        </w:rPr>
        <w:t>5</w:t>
      </w:r>
      <w:r>
        <w:rPr>
          <w:rFonts w:hint="eastAsia"/>
        </w:rPr>
        <w:t>、</w:t>
      </w:r>
      <w:r>
        <w:rPr>
          <w:rFonts w:hint="eastAsia"/>
          <w:color w:val="000000"/>
        </w:rPr>
        <w:t>证券发行与限售股解禁</w:t>
      </w:r>
      <w:bookmarkEnd w:id="60"/>
    </w:p>
    <w:p w:rsidR="00937CC5" w:rsidRDefault="007A54EB">
      <w:r>
        <w:rPr>
          <w:rFonts w:hint="eastAsia"/>
        </w:rPr>
        <w:t>9</w:t>
      </w:r>
      <w:r>
        <w:rPr>
          <w:rFonts w:hint="eastAsia"/>
        </w:rPr>
        <w:t>月首发募集资金共计</w:t>
      </w:r>
      <w:r>
        <w:t>168.5</w:t>
      </w:r>
      <w:r>
        <w:rPr>
          <w:rFonts w:hint="eastAsia"/>
        </w:rPr>
        <w:t>亿元，当月</w:t>
      </w:r>
      <w:r>
        <w:rPr>
          <w:rFonts w:hint="eastAsia"/>
        </w:rPr>
        <w:t>IPO</w:t>
      </w:r>
      <w:r>
        <w:rPr>
          <w:rFonts w:hint="eastAsia"/>
        </w:rPr>
        <w:t>规模较</w:t>
      </w:r>
      <w:r>
        <w:rPr>
          <w:rFonts w:hint="eastAsia"/>
        </w:rPr>
        <w:t>8</w:t>
      </w:r>
      <w:r>
        <w:rPr>
          <w:rFonts w:hint="eastAsia"/>
        </w:rPr>
        <w:t>月小幅增加；增发募集资金</w:t>
      </w:r>
      <w:r>
        <w:rPr>
          <w:rFonts w:hint="eastAsia"/>
        </w:rPr>
        <w:t>744</w:t>
      </w:r>
      <w:r>
        <w:rPr>
          <w:rFonts w:hint="eastAsia"/>
        </w:rPr>
        <w:t>亿元，其</w:t>
      </w:r>
      <w:proofErr w:type="gramStart"/>
      <w:r>
        <w:rPr>
          <w:rFonts w:hint="eastAsia"/>
        </w:rPr>
        <w:t>规模环</w:t>
      </w:r>
      <w:proofErr w:type="gramEnd"/>
      <w:r>
        <w:rPr>
          <w:rFonts w:hint="eastAsia"/>
        </w:rPr>
        <w:t>比</w:t>
      </w:r>
      <w:r>
        <w:rPr>
          <w:rFonts w:hint="eastAsia"/>
        </w:rPr>
        <w:t>7</w:t>
      </w:r>
      <w:r>
        <w:rPr>
          <w:rFonts w:hint="eastAsia"/>
        </w:rPr>
        <w:t>月增加</w:t>
      </w:r>
      <w:r>
        <w:rPr>
          <w:rFonts w:hint="eastAsia"/>
        </w:rPr>
        <w:t>47.2%</w:t>
      </w:r>
      <w:r>
        <w:rPr>
          <w:rFonts w:hint="eastAsia"/>
        </w:rPr>
        <w:t>。</w:t>
      </w:r>
      <w:r>
        <w:rPr>
          <w:rFonts w:hint="eastAsia"/>
        </w:rPr>
        <w:t>IPO</w:t>
      </w:r>
      <w:r>
        <w:rPr>
          <w:rFonts w:hint="eastAsia"/>
        </w:rPr>
        <w:t>常态化，为融资需求更大的</w:t>
      </w:r>
      <w:r>
        <w:rPr>
          <w:rFonts w:hint="eastAsia"/>
        </w:rPr>
        <w:t>IPO</w:t>
      </w:r>
      <w:r>
        <w:rPr>
          <w:rFonts w:hint="eastAsia"/>
        </w:rPr>
        <w:t>企业带来帮助，但整体规模与增发融资相比差距较大。</w:t>
      </w:r>
    </w:p>
    <w:p w:rsidR="00937CC5" w:rsidRDefault="00937CC5"/>
    <w:p w:rsidR="00937CC5" w:rsidRDefault="007A54EB">
      <w:pPr>
        <w:pStyle w:val="a3"/>
        <w:rPr>
          <w:rFonts w:ascii="宋体" w:eastAsia="宋体" w:hAnsi="宋体"/>
          <w:b/>
          <w:sz w:val="21"/>
          <w:szCs w:val="21"/>
        </w:rPr>
      </w:pPr>
      <w:bookmarkStart w:id="61" w:name="_Toc450560276"/>
      <w:bookmarkStart w:id="62" w:name="_Toc492279111"/>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17</w:t>
      </w:r>
      <w:r>
        <w:rPr>
          <w:rFonts w:ascii="宋体" w:eastAsia="宋体" w:hAnsi="宋体"/>
          <w:b/>
          <w:sz w:val="21"/>
          <w:szCs w:val="21"/>
        </w:rPr>
        <w:fldChar w:fldCharType="end"/>
      </w:r>
      <w:r>
        <w:rPr>
          <w:rFonts w:ascii="宋体" w:eastAsia="宋体" w:hAnsi="宋体" w:hint="eastAsia"/>
          <w:b/>
          <w:sz w:val="21"/>
          <w:szCs w:val="21"/>
        </w:rPr>
        <w:t>：每月股权融资规模</w:t>
      </w:r>
      <w:bookmarkEnd w:id="61"/>
      <w:bookmarkEnd w:id="62"/>
    </w:p>
    <w:p w:rsidR="00937CC5" w:rsidRDefault="00E34F54">
      <w:pPr>
        <w:widowControl/>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14:anchorId="162092D1">
            <wp:extent cx="5183919" cy="2156604"/>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09882" cy="2167405"/>
                    </a:xfrm>
                    <a:prstGeom prst="rect">
                      <a:avLst/>
                    </a:prstGeom>
                    <a:noFill/>
                  </pic:spPr>
                </pic:pic>
              </a:graphicData>
            </a:graphic>
          </wp:inline>
        </w:drawing>
      </w:r>
    </w:p>
    <w:p w:rsidR="00937CC5" w:rsidRDefault="007A54EB">
      <w:pPr>
        <w:ind w:right="360"/>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bookmarkStart w:id="63" w:name="_Toc450560277"/>
    </w:p>
    <w:p w:rsidR="00937CC5" w:rsidRDefault="00937CC5">
      <w:pPr>
        <w:ind w:right="360"/>
        <w:jc w:val="left"/>
        <w:rPr>
          <w:sz w:val="18"/>
          <w:szCs w:val="18"/>
        </w:rPr>
      </w:pPr>
    </w:p>
    <w:p w:rsidR="00937CC5" w:rsidRDefault="00E34F54">
      <w:r>
        <w:t>9</w:t>
      </w:r>
      <w:r w:rsidR="007A54EB">
        <w:rPr>
          <w:rFonts w:hint="eastAsia"/>
        </w:rPr>
        <w:t>月两市解禁总市值为</w:t>
      </w:r>
      <w:r w:rsidR="007A54EB">
        <w:rPr>
          <w:rFonts w:hint="eastAsia"/>
        </w:rPr>
        <w:t>2</w:t>
      </w:r>
      <w:r>
        <w:t>593.7</w:t>
      </w:r>
      <w:r w:rsidR="007A54EB">
        <w:rPr>
          <w:rFonts w:hint="eastAsia"/>
        </w:rPr>
        <w:t>亿元，环比</w:t>
      </w:r>
      <w:r>
        <w:rPr>
          <w:rFonts w:hint="eastAsia"/>
        </w:rPr>
        <w:t>8</w:t>
      </w:r>
      <w:r>
        <w:rPr>
          <w:rFonts w:hint="eastAsia"/>
        </w:rPr>
        <w:t>月增</w:t>
      </w:r>
      <w:r>
        <w:rPr>
          <w:rFonts w:hint="eastAsia"/>
        </w:rPr>
        <w:t>8</w:t>
      </w:r>
      <w:r w:rsidR="007A54EB">
        <w:rPr>
          <w:rFonts w:hint="eastAsia"/>
        </w:rPr>
        <w:t>%</w:t>
      </w:r>
      <w:r>
        <w:rPr>
          <w:rFonts w:hint="eastAsia"/>
        </w:rPr>
        <w:t>。</w:t>
      </w:r>
    </w:p>
    <w:p w:rsidR="00937CC5" w:rsidRDefault="007A54EB">
      <w:pPr>
        <w:pStyle w:val="a3"/>
        <w:rPr>
          <w:rFonts w:ascii="Times New Roman" w:eastAsia="宋体" w:hAnsi="Times New Roman"/>
          <w:b/>
          <w:sz w:val="21"/>
        </w:rPr>
      </w:pPr>
      <w:bookmarkStart w:id="64" w:name="_Toc492279112"/>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18</w:t>
      </w:r>
      <w:r>
        <w:rPr>
          <w:rFonts w:ascii="宋体" w:eastAsia="宋体" w:hAnsi="宋体"/>
          <w:b/>
          <w:sz w:val="21"/>
          <w:szCs w:val="21"/>
        </w:rPr>
        <w:fldChar w:fldCharType="end"/>
      </w:r>
      <w:r>
        <w:rPr>
          <w:rFonts w:ascii="宋体" w:eastAsia="宋体" w:hAnsi="宋体" w:hint="eastAsia"/>
          <w:b/>
          <w:sz w:val="21"/>
          <w:szCs w:val="21"/>
        </w:rPr>
        <w:t>：每月限售股解禁金额</w:t>
      </w:r>
      <w:bookmarkEnd w:id="63"/>
      <w:bookmarkEnd w:id="64"/>
    </w:p>
    <w:p w:rsidR="00937CC5" w:rsidRDefault="00E34F54">
      <w:pPr>
        <w:widowControl/>
        <w:jc w:val="center"/>
        <w:rPr>
          <w:rFonts w:ascii="宋体" w:eastAsia="宋体" w:hAnsi="宋体"/>
          <w:szCs w:val="21"/>
        </w:rPr>
      </w:pPr>
      <w:r>
        <w:rPr>
          <w:rFonts w:ascii="宋体" w:eastAsia="宋体" w:hAnsi="宋体"/>
          <w:noProof/>
          <w:szCs w:val="21"/>
        </w:rPr>
        <w:drawing>
          <wp:inline distT="0" distB="0" distL="0" distR="0" wp14:anchorId="000712CA">
            <wp:extent cx="5221329" cy="2146635"/>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43440" cy="2155725"/>
                    </a:xfrm>
                    <a:prstGeom prst="rect">
                      <a:avLst/>
                    </a:prstGeom>
                    <a:noFill/>
                  </pic:spPr>
                </pic:pic>
              </a:graphicData>
            </a:graphic>
          </wp:inline>
        </w:drawing>
      </w:r>
    </w:p>
    <w:p w:rsidR="00937CC5" w:rsidRDefault="007A54EB">
      <w:pPr>
        <w:ind w:right="360"/>
        <w:jc w:val="left"/>
        <w:rPr>
          <w:sz w:val="18"/>
          <w:szCs w:val="18"/>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937CC5">
      <w:pPr>
        <w:ind w:right="360"/>
        <w:jc w:val="left"/>
        <w:rPr>
          <w:sz w:val="18"/>
          <w:szCs w:val="18"/>
        </w:rPr>
      </w:pPr>
    </w:p>
    <w:p w:rsidR="00937CC5" w:rsidRDefault="007A54EB">
      <w:pPr>
        <w:pStyle w:val="2"/>
      </w:pPr>
      <w:bookmarkStart w:id="65" w:name="_Toc494020676"/>
      <w:r>
        <w:rPr>
          <w:rFonts w:hint="eastAsia"/>
        </w:rPr>
        <w:t>6</w:t>
      </w:r>
      <w:r>
        <w:rPr>
          <w:rFonts w:hint="eastAsia"/>
        </w:rPr>
        <w:t>、一周申万</w:t>
      </w:r>
      <w:proofErr w:type="gramStart"/>
      <w:r>
        <w:rPr>
          <w:rFonts w:hint="eastAsia"/>
        </w:rPr>
        <w:t>28</w:t>
      </w:r>
      <w:proofErr w:type="gramEnd"/>
      <w:r>
        <w:rPr>
          <w:rFonts w:hint="eastAsia"/>
        </w:rPr>
        <w:t>行业情况</w:t>
      </w:r>
      <w:bookmarkEnd w:id="65"/>
      <w:r>
        <w:t xml:space="preserve"> </w:t>
      </w:r>
    </w:p>
    <w:p w:rsidR="00937CC5" w:rsidRDefault="007A54EB">
      <w:bookmarkStart w:id="66" w:name="_Toc450560278"/>
      <w:r>
        <w:rPr>
          <w:rFonts w:hint="eastAsia"/>
        </w:rPr>
        <w:t>截至</w:t>
      </w:r>
      <w:r>
        <w:rPr>
          <w:rFonts w:hint="eastAsia"/>
        </w:rPr>
        <w:t>10</w:t>
      </w:r>
      <w:r>
        <w:rPr>
          <w:rFonts w:hint="eastAsia"/>
        </w:rPr>
        <w:t>月</w:t>
      </w:r>
      <w:r w:rsidR="002E0613">
        <w:rPr>
          <w:rFonts w:hint="eastAsia"/>
        </w:rPr>
        <w:t>27</w:t>
      </w:r>
      <w:r>
        <w:rPr>
          <w:rFonts w:hint="eastAsia"/>
        </w:rPr>
        <w:t>号，本周申万</w:t>
      </w:r>
      <w:proofErr w:type="gramStart"/>
      <w:r>
        <w:rPr>
          <w:rFonts w:hint="eastAsia"/>
        </w:rPr>
        <w:t>28</w:t>
      </w:r>
      <w:proofErr w:type="gramEnd"/>
      <w:r>
        <w:rPr>
          <w:rFonts w:hint="eastAsia"/>
        </w:rPr>
        <w:t>个行业中</w:t>
      </w:r>
      <w:r w:rsidR="002E0613">
        <w:rPr>
          <w:rFonts w:hint="eastAsia"/>
        </w:rPr>
        <w:t>涨多跌少</w:t>
      </w:r>
      <w:r>
        <w:rPr>
          <w:rFonts w:hint="eastAsia"/>
        </w:rPr>
        <w:t>，食品饮料</w:t>
      </w:r>
      <w:proofErr w:type="gramStart"/>
      <w:r>
        <w:rPr>
          <w:rFonts w:hint="eastAsia"/>
        </w:rPr>
        <w:t>行业涨</w:t>
      </w:r>
      <w:proofErr w:type="gramEnd"/>
      <w:r>
        <w:rPr>
          <w:rFonts w:hint="eastAsia"/>
        </w:rPr>
        <w:t>幅最大达</w:t>
      </w:r>
      <w:r w:rsidR="002E0613">
        <w:t>6.005</w:t>
      </w:r>
      <w:r>
        <w:rPr>
          <w:rFonts w:hint="eastAsia"/>
        </w:rPr>
        <w:t>%</w:t>
      </w:r>
      <w:r>
        <w:rPr>
          <w:rFonts w:hint="eastAsia"/>
        </w:rPr>
        <w:t>，交通运输行业上涨</w:t>
      </w:r>
      <w:r>
        <w:rPr>
          <w:rFonts w:hint="eastAsia"/>
        </w:rPr>
        <w:t>1.3718%</w:t>
      </w:r>
      <w:r>
        <w:rPr>
          <w:rFonts w:hint="eastAsia"/>
        </w:rPr>
        <w:t>，计算机、通信行业跌幅较大，分别达</w:t>
      </w:r>
      <w:r>
        <w:rPr>
          <w:rFonts w:hint="eastAsia"/>
        </w:rPr>
        <w:t>5.1385%</w:t>
      </w:r>
      <w:r>
        <w:rPr>
          <w:rFonts w:hint="eastAsia"/>
        </w:rPr>
        <w:t>、</w:t>
      </w:r>
      <w:r>
        <w:rPr>
          <w:rFonts w:hint="eastAsia"/>
        </w:rPr>
        <w:t>4.2104%</w:t>
      </w:r>
      <w:r>
        <w:rPr>
          <w:rFonts w:hint="eastAsia"/>
        </w:rPr>
        <w:t>；资金流向方面，除了银行业净流入外，其他行业均为净流出，其中计算机行业的净流出最多达</w:t>
      </w:r>
      <w:r>
        <w:rPr>
          <w:rFonts w:hint="eastAsia"/>
        </w:rPr>
        <w:t>119</w:t>
      </w:r>
      <w:r>
        <w:rPr>
          <w:rFonts w:hint="eastAsia"/>
        </w:rPr>
        <w:t>亿元。</w:t>
      </w:r>
    </w:p>
    <w:p w:rsidR="00937CC5" w:rsidRDefault="007A54EB" w:rsidP="00E34F54">
      <w:pPr>
        <w:pStyle w:val="a3"/>
        <w:rPr>
          <w:rFonts w:ascii="宋体" w:eastAsia="宋体" w:hAnsi="宋体"/>
          <w:b/>
          <w:sz w:val="21"/>
          <w:szCs w:val="21"/>
        </w:rPr>
      </w:pPr>
      <w:bookmarkStart w:id="67" w:name="_Toc492279113"/>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19</w:t>
      </w:r>
      <w:r>
        <w:rPr>
          <w:rFonts w:ascii="宋体" w:eastAsia="宋体" w:hAnsi="宋体"/>
          <w:b/>
          <w:sz w:val="21"/>
          <w:szCs w:val="21"/>
        </w:rPr>
        <w:fldChar w:fldCharType="end"/>
      </w:r>
      <w:r>
        <w:rPr>
          <w:rFonts w:ascii="宋体" w:eastAsia="宋体" w:hAnsi="宋体" w:hint="eastAsia"/>
          <w:b/>
          <w:sz w:val="21"/>
          <w:szCs w:val="21"/>
        </w:rPr>
        <w:t>：申万</w:t>
      </w:r>
      <w:proofErr w:type="gramStart"/>
      <w:r>
        <w:rPr>
          <w:rFonts w:ascii="宋体" w:eastAsia="宋体" w:hAnsi="宋体" w:hint="eastAsia"/>
          <w:b/>
          <w:sz w:val="21"/>
          <w:szCs w:val="21"/>
        </w:rPr>
        <w:t>28行业周涨跌</w:t>
      </w:r>
      <w:proofErr w:type="gramEnd"/>
      <w:r>
        <w:rPr>
          <w:rFonts w:ascii="宋体" w:eastAsia="宋体" w:hAnsi="宋体" w:hint="eastAsia"/>
          <w:b/>
          <w:sz w:val="21"/>
          <w:szCs w:val="21"/>
        </w:rPr>
        <w:t>幅</w:t>
      </w:r>
      <w:bookmarkEnd w:id="66"/>
      <w:bookmarkEnd w:id="67"/>
    </w:p>
    <w:p w:rsidR="00937CC5" w:rsidRDefault="00BD66FD">
      <w:r>
        <w:rPr>
          <w:noProof/>
        </w:rPr>
        <w:lastRenderedPageBreak/>
        <w:drawing>
          <wp:inline distT="0" distB="0" distL="0" distR="0" wp14:anchorId="49FCC918">
            <wp:extent cx="5287992" cy="1923691"/>
            <wp:effectExtent l="0" t="0" r="8255" b="63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5740" cy="1922872"/>
                    </a:xfrm>
                    <a:prstGeom prst="rect">
                      <a:avLst/>
                    </a:prstGeom>
                    <a:noFill/>
                  </pic:spPr>
                </pic:pic>
              </a:graphicData>
            </a:graphic>
          </wp:inline>
        </w:drawing>
      </w:r>
    </w:p>
    <w:p w:rsidR="00937CC5" w:rsidRDefault="007A54EB">
      <w:pPr>
        <w:rPr>
          <w:sz w:val="18"/>
          <w:szCs w:val="18"/>
        </w:rPr>
      </w:pPr>
      <w:r>
        <w:rPr>
          <w:rFonts w:hint="eastAsia"/>
          <w:sz w:val="18"/>
          <w:szCs w:val="18"/>
        </w:rPr>
        <w:t>数据来源：</w:t>
      </w:r>
      <w:r>
        <w:rPr>
          <w:rFonts w:hint="eastAsia"/>
          <w:sz w:val="18"/>
          <w:szCs w:val="18"/>
        </w:rPr>
        <w:t>WIND</w:t>
      </w:r>
      <w:r>
        <w:rPr>
          <w:rFonts w:hint="eastAsia"/>
          <w:sz w:val="18"/>
          <w:szCs w:val="18"/>
        </w:rPr>
        <w:t>，广州期货研究所</w:t>
      </w:r>
      <w:bookmarkStart w:id="68" w:name="_Toc450560279"/>
    </w:p>
    <w:p w:rsidR="00937CC5" w:rsidRDefault="00937CC5">
      <w:pPr>
        <w:rPr>
          <w:sz w:val="18"/>
          <w:szCs w:val="18"/>
        </w:rPr>
      </w:pPr>
    </w:p>
    <w:p w:rsidR="00937CC5" w:rsidRDefault="007A54EB" w:rsidP="00E34F54">
      <w:pPr>
        <w:pStyle w:val="a3"/>
        <w:rPr>
          <w:rFonts w:ascii="宋体" w:eastAsia="宋体" w:hAnsi="宋体"/>
          <w:b/>
          <w:sz w:val="21"/>
          <w:szCs w:val="21"/>
        </w:rPr>
      </w:pPr>
      <w:bookmarkStart w:id="69" w:name="_Toc492279114"/>
      <w:r>
        <w:rPr>
          <w:rFonts w:ascii="宋体" w:eastAsia="宋体" w:hAnsi="宋体" w:hint="eastAsia"/>
          <w:b/>
          <w:sz w:val="21"/>
          <w:szCs w:val="21"/>
        </w:rPr>
        <w:t xml:space="preserve">图表 </w:t>
      </w:r>
      <w:r>
        <w:rPr>
          <w:rFonts w:ascii="宋体" w:eastAsia="宋体" w:hAnsi="宋体"/>
          <w:b/>
          <w:sz w:val="21"/>
          <w:szCs w:val="21"/>
        </w:rPr>
        <w:fldChar w:fldCharType="begin"/>
      </w:r>
      <w:r>
        <w:rPr>
          <w:rFonts w:ascii="宋体" w:eastAsia="宋体" w:hAnsi="宋体"/>
          <w:b/>
          <w:sz w:val="21"/>
          <w:szCs w:val="21"/>
        </w:rPr>
        <w:instrText xml:space="preserve"> </w:instrText>
      </w:r>
      <w:r>
        <w:rPr>
          <w:rFonts w:ascii="宋体" w:eastAsia="宋体" w:hAnsi="宋体" w:hint="eastAsia"/>
          <w:b/>
          <w:sz w:val="21"/>
          <w:szCs w:val="21"/>
        </w:rPr>
        <w:instrText>SEQ 图表 \* ARABIC</w:instrText>
      </w:r>
      <w:r>
        <w:rPr>
          <w:rFonts w:ascii="宋体" w:eastAsia="宋体" w:hAnsi="宋体"/>
          <w:b/>
          <w:sz w:val="21"/>
          <w:szCs w:val="21"/>
        </w:rPr>
        <w:instrText xml:space="preserve"> </w:instrText>
      </w:r>
      <w:r>
        <w:rPr>
          <w:rFonts w:ascii="宋体" w:eastAsia="宋体" w:hAnsi="宋体"/>
          <w:b/>
          <w:sz w:val="21"/>
          <w:szCs w:val="21"/>
        </w:rPr>
        <w:fldChar w:fldCharType="separate"/>
      </w:r>
      <w:r>
        <w:rPr>
          <w:rFonts w:ascii="宋体" w:eastAsia="宋体" w:hAnsi="宋体"/>
          <w:b/>
          <w:sz w:val="21"/>
          <w:szCs w:val="21"/>
        </w:rPr>
        <w:t>20</w:t>
      </w:r>
      <w:r>
        <w:rPr>
          <w:rFonts w:ascii="宋体" w:eastAsia="宋体" w:hAnsi="宋体"/>
          <w:b/>
          <w:sz w:val="21"/>
          <w:szCs w:val="21"/>
        </w:rPr>
        <w:fldChar w:fldCharType="end"/>
      </w:r>
      <w:r>
        <w:rPr>
          <w:rFonts w:ascii="宋体" w:eastAsia="宋体" w:hAnsi="宋体" w:hint="eastAsia"/>
          <w:b/>
          <w:sz w:val="21"/>
          <w:szCs w:val="21"/>
        </w:rPr>
        <w:t>：申万</w:t>
      </w:r>
      <w:proofErr w:type="gramStart"/>
      <w:r>
        <w:rPr>
          <w:rFonts w:ascii="宋体" w:eastAsia="宋体" w:hAnsi="宋体" w:hint="eastAsia"/>
          <w:b/>
          <w:sz w:val="21"/>
          <w:szCs w:val="21"/>
        </w:rPr>
        <w:t>28</w:t>
      </w:r>
      <w:proofErr w:type="gramEnd"/>
      <w:r>
        <w:rPr>
          <w:rFonts w:ascii="宋体" w:eastAsia="宋体" w:hAnsi="宋体" w:hint="eastAsia"/>
          <w:b/>
          <w:sz w:val="21"/>
          <w:szCs w:val="21"/>
        </w:rPr>
        <w:t>行业最近5日累计资金流向</w:t>
      </w:r>
      <w:bookmarkEnd w:id="68"/>
      <w:bookmarkEnd w:id="69"/>
    </w:p>
    <w:p w:rsidR="00937CC5" w:rsidRPr="0043477E" w:rsidRDefault="00BD66FD">
      <w:r>
        <w:rPr>
          <w:noProof/>
        </w:rPr>
        <w:drawing>
          <wp:inline distT="0" distB="0" distL="0" distR="0" wp14:anchorId="1DB4D7B5">
            <wp:extent cx="5278861" cy="2035834"/>
            <wp:effectExtent l="0" t="0" r="0" b="254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5740" cy="2038487"/>
                    </a:xfrm>
                    <a:prstGeom prst="rect">
                      <a:avLst/>
                    </a:prstGeom>
                    <a:noFill/>
                  </pic:spPr>
                </pic:pic>
              </a:graphicData>
            </a:graphic>
          </wp:inline>
        </w:drawing>
      </w:r>
    </w:p>
    <w:p w:rsidR="00937CC5" w:rsidRDefault="007A54EB">
      <w:pPr>
        <w:rPr>
          <w:rFonts w:ascii="宋体" w:hAnsi="宋体" w:cs="宋体"/>
          <w:kern w:val="0"/>
          <w:sz w:val="24"/>
          <w:szCs w:val="24"/>
        </w:rPr>
      </w:pPr>
      <w:r>
        <w:rPr>
          <w:rFonts w:hint="eastAsia"/>
          <w:sz w:val="18"/>
          <w:szCs w:val="18"/>
        </w:rPr>
        <w:t>数据来源：</w:t>
      </w:r>
      <w:r>
        <w:rPr>
          <w:rFonts w:hint="eastAsia"/>
          <w:sz w:val="18"/>
          <w:szCs w:val="18"/>
        </w:rPr>
        <w:t>WIND</w:t>
      </w:r>
      <w:r>
        <w:rPr>
          <w:rFonts w:hint="eastAsia"/>
          <w:sz w:val="18"/>
          <w:szCs w:val="18"/>
        </w:rPr>
        <w:t>，广州期货研究所</w:t>
      </w:r>
    </w:p>
    <w:p w:rsidR="00937CC5" w:rsidRDefault="007A54EB">
      <w:r>
        <w:tab/>
      </w:r>
      <w:r>
        <w:tab/>
      </w:r>
      <w:r>
        <w:tab/>
      </w:r>
      <w:r>
        <w:tab/>
      </w:r>
      <w:r>
        <w:tab/>
      </w:r>
      <w:r>
        <w:tab/>
      </w:r>
    </w:p>
    <w:p w:rsidR="00937CC5" w:rsidRDefault="007A54EB">
      <w:pPr>
        <w:pStyle w:val="2"/>
      </w:pPr>
      <w:bookmarkStart w:id="70" w:name="_Toc494020677"/>
      <w:r>
        <w:rPr>
          <w:rFonts w:hint="eastAsia"/>
        </w:rPr>
        <w:t>7</w:t>
      </w:r>
      <w:r>
        <w:t>、</w:t>
      </w:r>
      <w:r>
        <w:rPr>
          <w:rFonts w:hint="eastAsia"/>
        </w:rPr>
        <w:t>股指与其他主要商品指数比较</w:t>
      </w:r>
      <w:bookmarkEnd w:id="70"/>
    </w:p>
    <w:p w:rsidR="0043477E" w:rsidRPr="0043477E" w:rsidRDefault="007A54EB" w:rsidP="0043477E">
      <w:r>
        <w:rPr>
          <w:rFonts w:hint="eastAsia"/>
        </w:rPr>
        <w:t>截至</w:t>
      </w:r>
      <w:r>
        <w:rPr>
          <w:rFonts w:hint="eastAsia"/>
        </w:rPr>
        <w:t>10</w:t>
      </w:r>
      <w:r>
        <w:rPr>
          <w:rFonts w:hint="eastAsia"/>
        </w:rPr>
        <w:t>月</w:t>
      </w:r>
      <w:r w:rsidR="00107D3B">
        <w:rPr>
          <w:rFonts w:hint="eastAsia"/>
        </w:rPr>
        <w:t>27</w:t>
      </w:r>
      <w:r>
        <w:rPr>
          <w:rFonts w:hint="eastAsia"/>
        </w:rPr>
        <w:t>日，本周中证期货商品指数中</w:t>
      </w:r>
      <w:r w:rsidR="00183BDE">
        <w:rPr>
          <w:rFonts w:hint="eastAsia"/>
        </w:rPr>
        <w:t>跌多涨少</w:t>
      </w:r>
      <w:r>
        <w:rPr>
          <w:rFonts w:hint="eastAsia"/>
        </w:rPr>
        <w:t>，其中</w:t>
      </w:r>
      <w:r w:rsidR="00183BDE">
        <w:rPr>
          <w:rFonts w:hint="eastAsia"/>
        </w:rPr>
        <w:t>沪深</w:t>
      </w:r>
      <w:r w:rsidR="00183BDE">
        <w:rPr>
          <w:rFonts w:hint="eastAsia"/>
        </w:rPr>
        <w:t>300</w:t>
      </w:r>
      <w:r w:rsidR="00183BDE">
        <w:rPr>
          <w:rFonts w:hint="eastAsia"/>
        </w:rPr>
        <w:t>期指</w:t>
      </w:r>
      <w:r>
        <w:rPr>
          <w:rFonts w:hint="eastAsia"/>
        </w:rPr>
        <w:t>上涨幅度最大达</w:t>
      </w:r>
      <w:r w:rsidR="00183BDE">
        <w:t>2.4429</w:t>
      </w:r>
      <w:r>
        <w:rPr>
          <w:rFonts w:hint="eastAsia"/>
        </w:rPr>
        <w:t>%</w:t>
      </w:r>
      <w:r>
        <w:rPr>
          <w:rFonts w:hint="eastAsia"/>
        </w:rPr>
        <w:t>，</w:t>
      </w:r>
      <w:proofErr w:type="gramStart"/>
      <w:r w:rsidR="00183BDE">
        <w:rPr>
          <w:rFonts w:hint="eastAsia"/>
        </w:rPr>
        <w:t>工金</w:t>
      </w:r>
      <w:proofErr w:type="gramEnd"/>
      <w:r>
        <w:rPr>
          <w:rFonts w:hint="eastAsia"/>
        </w:rPr>
        <w:t>CFCI</w:t>
      </w:r>
      <w:r>
        <w:rPr>
          <w:rFonts w:hint="eastAsia"/>
        </w:rPr>
        <w:t>指数下跌幅度最大达</w:t>
      </w:r>
      <w:r w:rsidR="00183BDE">
        <w:t>1.2848</w:t>
      </w:r>
      <w:r>
        <w:rPr>
          <w:rFonts w:hint="eastAsia"/>
        </w:rPr>
        <w:t>%</w:t>
      </w:r>
      <w:r>
        <w:rPr>
          <w:rFonts w:hint="eastAsia"/>
        </w:rPr>
        <w:t>。</w:t>
      </w:r>
      <w:bookmarkStart w:id="71" w:name="_Toc450560282"/>
      <w:bookmarkStart w:id="72" w:name="_Toc492279115"/>
    </w:p>
    <w:p w:rsidR="00937CC5" w:rsidRDefault="007A54EB" w:rsidP="00E34F54">
      <w:pPr>
        <w:pStyle w:val="a3"/>
        <w:rPr>
          <w:rFonts w:ascii="宋体" w:eastAsia="宋体" w:hAnsi="宋体" w:cs="Arial"/>
          <w:b/>
          <w:color w:val="222222"/>
          <w:spacing w:val="15"/>
          <w:kern w:val="0"/>
          <w:sz w:val="21"/>
          <w:szCs w:val="21"/>
        </w:rPr>
      </w:pPr>
      <w:r>
        <w:rPr>
          <w:rFonts w:ascii="宋体" w:eastAsia="宋体" w:hAnsi="宋体" w:cs="Arial" w:hint="eastAsia"/>
          <w:b/>
          <w:color w:val="222222"/>
          <w:spacing w:val="15"/>
          <w:kern w:val="0"/>
          <w:sz w:val="21"/>
          <w:szCs w:val="21"/>
        </w:rPr>
        <w:t xml:space="preserve">图表 </w:t>
      </w:r>
      <w:r>
        <w:rPr>
          <w:rFonts w:ascii="宋体" w:eastAsia="宋体" w:hAnsi="宋体" w:cs="Arial"/>
          <w:b/>
          <w:color w:val="222222"/>
          <w:spacing w:val="15"/>
          <w:kern w:val="0"/>
          <w:sz w:val="21"/>
          <w:szCs w:val="21"/>
        </w:rPr>
        <w:fldChar w:fldCharType="begin"/>
      </w:r>
      <w:r>
        <w:rPr>
          <w:rFonts w:ascii="宋体" w:eastAsia="宋体" w:hAnsi="宋体" w:cs="Arial"/>
          <w:b/>
          <w:color w:val="222222"/>
          <w:spacing w:val="15"/>
          <w:kern w:val="0"/>
          <w:sz w:val="21"/>
          <w:szCs w:val="21"/>
        </w:rPr>
        <w:instrText xml:space="preserve"> </w:instrText>
      </w:r>
      <w:r>
        <w:rPr>
          <w:rFonts w:ascii="宋体" w:eastAsia="宋体" w:hAnsi="宋体" w:cs="Arial" w:hint="eastAsia"/>
          <w:b/>
          <w:color w:val="222222"/>
          <w:spacing w:val="15"/>
          <w:kern w:val="0"/>
          <w:sz w:val="21"/>
          <w:szCs w:val="21"/>
        </w:rPr>
        <w:instrText>SEQ 图表 \* ARABIC</w:instrText>
      </w:r>
      <w:r>
        <w:rPr>
          <w:rFonts w:ascii="宋体" w:eastAsia="宋体" w:hAnsi="宋体" w:cs="Arial"/>
          <w:b/>
          <w:color w:val="222222"/>
          <w:spacing w:val="15"/>
          <w:kern w:val="0"/>
          <w:sz w:val="21"/>
          <w:szCs w:val="21"/>
        </w:rPr>
        <w:instrText xml:space="preserve"> </w:instrText>
      </w:r>
      <w:r>
        <w:rPr>
          <w:rFonts w:ascii="宋体" w:eastAsia="宋体" w:hAnsi="宋体" w:cs="Arial"/>
          <w:b/>
          <w:color w:val="222222"/>
          <w:spacing w:val="15"/>
          <w:kern w:val="0"/>
          <w:sz w:val="21"/>
          <w:szCs w:val="21"/>
        </w:rPr>
        <w:fldChar w:fldCharType="separate"/>
      </w:r>
      <w:r>
        <w:rPr>
          <w:rFonts w:ascii="宋体" w:eastAsia="宋体" w:hAnsi="宋体" w:cs="Arial"/>
          <w:b/>
          <w:color w:val="222222"/>
          <w:spacing w:val="15"/>
          <w:kern w:val="0"/>
          <w:sz w:val="21"/>
          <w:szCs w:val="21"/>
        </w:rPr>
        <w:t>21</w:t>
      </w:r>
      <w:r>
        <w:rPr>
          <w:rFonts w:ascii="宋体" w:eastAsia="宋体" w:hAnsi="宋体" w:cs="Arial"/>
          <w:b/>
          <w:color w:val="222222"/>
          <w:spacing w:val="15"/>
          <w:kern w:val="0"/>
          <w:sz w:val="21"/>
          <w:szCs w:val="21"/>
        </w:rPr>
        <w:fldChar w:fldCharType="end"/>
      </w:r>
      <w:r>
        <w:rPr>
          <w:rFonts w:ascii="宋体" w:eastAsia="宋体" w:hAnsi="宋体" w:cs="Arial" w:hint="eastAsia"/>
          <w:b/>
          <w:color w:val="222222"/>
          <w:spacing w:val="15"/>
          <w:kern w:val="0"/>
          <w:sz w:val="21"/>
          <w:szCs w:val="21"/>
        </w:rPr>
        <w:t>：中证期货指数最近一周累计涨跌幅</w:t>
      </w:r>
      <w:bookmarkEnd w:id="71"/>
      <w:bookmarkEnd w:id="72"/>
    </w:p>
    <w:p w:rsidR="00BD66FD" w:rsidRPr="00BD66FD" w:rsidRDefault="00BD66FD" w:rsidP="00BD66FD">
      <w:r>
        <w:rPr>
          <w:noProof/>
        </w:rPr>
        <w:drawing>
          <wp:inline distT="0" distB="0" distL="0" distR="0" wp14:anchorId="5B763396">
            <wp:extent cx="5278863" cy="2363638"/>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5740" cy="2366717"/>
                    </a:xfrm>
                    <a:prstGeom prst="rect">
                      <a:avLst/>
                    </a:prstGeom>
                    <a:noFill/>
                  </pic:spPr>
                </pic:pic>
              </a:graphicData>
            </a:graphic>
          </wp:inline>
        </w:drawing>
      </w:r>
    </w:p>
    <w:p w:rsidR="00937CC5" w:rsidRDefault="00937CC5"/>
    <w:p w:rsidR="00937CC5" w:rsidRDefault="007A54EB">
      <w:pPr>
        <w:widowControl/>
        <w:jc w:val="left"/>
      </w:pPr>
      <w:r>
        <w:rPr>
          <w:rFonts w:ascii="黑体" w:eastAsia="黑体" w:hAnsi="黑体" w:cs="黑体" w:hint="eastAsia"/>
          <w:sz w:val="32"/>
          <w:szCs w:val="32"/>
        </w:rPr>
        <w:lastRenderedPageBreak/>
        <w:t>五、总结与风险提示</w:t>
      </w:r>
    </w:p>
    <w:p w:rsidR="00937CC5" w:rsidRDefault="007A54EB">
      <w:pPr>
        <w:ind w:firstLineChars="200" w:firstLine="420"/>
        <w:rPr>
          <w:rFonts w:ascii="华文楷体" w:hAnsi="华文楷体"/>
          <w:szCs w:val="21"/>
        </w:rPr>
      </w:pPr>
      <w:r>
        <w:rPr>
          <w:rFonts w:ascii="华文楷体" w:hAnsi="华文楷体" w:hint="eastAsia"/>
          <w:szCs w:val="21"/>
        </w:rPr>
        <w:t>中央金融工作会议对今后金融市场的发展进行了定调，金融监管核心是防范系统性金融风险，坚定金融“去杠杆”，同时强调金融对实体经济的扶持，坚持IPO常态化，强调证券市场的作用主要是融资而非投资。今后市场投资方向因回归价值投资，回归上市企业业绩，不要盲目跟风炒作。</w:t>
      </w:r>
    </w:p>
    <w:p w:rsidR="00937CC5" w:rsidRDefault="007A54EB">
      <w:pPr>
        <w:spacing w:after="240" w:line="360" w:lineRule="auto"/>
        <w:rPr>
          <w:b/>
        </w:rPr>
      </w:pPr>
      <w:bookmarkStart w:id="73" w:name="_Toc492279116"/>
      <w:r>
        <w:rPr>
          <w:rFonts w:ascii="宋体" w:eastAsia="宋体" w:hAnsi="宋体" w:hint="eastAsia"/>
          <w:b/>
          <w:szCs w:val="21"/>
        </w:rPr>
        <w:t xml:space="preserve">图表 </w:t>
      </w:r>
      <w:r>
        <w:rPr>
          <w:rFonts w:ascii="宋体" w:eastAsia="宋体" w:hAnsi="宋体"/>
          <w:b/>
          <w:szCs w:val="21"/>
        </w:rPr>
        <w:fldChar w:fldCharType="begin"/>
      </w:r>
      <w:r>
        <w:rPr>
          <w:rFonts w:ascii="宋体" w:eastAsia="宋体" w:hAnsi="宋体"/>
          <w:b/>
          <w:szCs w:val="21"/>
        </w:rPr>
        <w:instrText xml:space="preserve"> </w:instrText>
      </w:r>
      <w:r>
        <w:rPr>
          <w:rFonts w:ascii="宋体" w:eastAsia="宋体" w:hAnsi="宋体" w:hint="eastAsia"/>
          <w:b/>
          <w:szCs w:val="21"/>
        </w:rPr>
        <w:instrText>SEQ 图表 \* ARABIC</w:instrText>
      </w:r>
      <w:r>
        <w:rPr>
          <w:rFonts w:ascii="宋体" w:eastAsia="宋体" w:hAnsi="宋体"/>
          <w:b/>
          <w:szCs w:val="21"/>
        </w:rPr>
        <w:instrText xml:space="preserve"> </w:instrText>
      </w:r>
      <w:r>
        <w:rPr>
          <w:rFonts w:ascii="宋体" w:eastAsia="宋体" w:hAnsi="宋体"/>
          <w:b/>
          <w:szCs w:val="21"/>
        </w:rPr>
        <w:fldChar w:fldCharType="separate"/>
      </w:r>
      <w:r>
        <w:rPr>
          <w:rFonts w:ascii="宋体" w:eastAsia="宋体" w:hAnsi="宋体"/>
          <w:b/>
          <w:szCs w:val="21"/>
        </w:rPr>
        <w:t>22</w:t>
      </w:r>
      <w:r>
        <w:rPr>
          <w:rFonts w:ascii="宋体" w:eastAsia="宋体" w:hAnsi="宋体"/>
          <w:b/>
          <w:szCs w:val="21"/>
        </w:rPr>
        <w:fldChar w:fldCharType="end"/>
      </w:r>
      <w:r>
        <w:rPr>
          <w:rFonts w:ascii="宋体" w:eastAsia="宋体" w:hAnsi="宋体" w:hint="eastAsia"/>
          <w:b/>
          <w:szCs w:val="21"/>
        </w:rPr>
        <w:t>：风险提示</w:t>
      </w:r>
      <w:bookmarkEnd w:id="73"/>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393"/>
      </w:tblGrid>
      <w:tr w:rsidR="00937CC5">
        <w:trPr>
          <w:trHeight w:val="284"/>
        </w:trPr>
        <w:tc>
          <w:tcPr>
            <w:tcW w:w="1135" w:type="dxa"/>
            <w:shd w:val="clear" w:color="auto" w:fill="ED7D31"/>
            <w:vAlign w:val="center"/>
          </w:tcPr>
          <w:p w:rsidR="00937CC5" w:rsidRDefault="007A54EB">
            <w:pPr>
              <w:spacing w:beforeLines="40" w:before="124" w:afterLines="40" w:after="124"/>
              <w:jc w:val="center"/>
              <w:rPr>
                <w:rFonts w:ascii="华文楷体" w:hAnsi="华文楷体"/>
                <w:b/>
                <w:szCs w:val="21"/>
              </w:rPr>
            </w:pPr>
            <w:r>
              <w:rPr>
                <w:rFonts w:ascii="华文楷体" w:hAnsi="华文楷体" w:hint="eastAsia"/>
                <w:b/>
                <w:szCs w:val="21"/>
              </w:rPr>
              <w:t>事件</w:t>
            </w:r>
          </w:p>
        </w:tc>
        <w:tc>
          <w:tcPr>
            <w:tcW w:w="7393" w:type="dxa"/>
            <w:shd w:val="clear" w:color="auto" w:fill="ED7D31"/>
            <w:vAlign w:val="center"/>
          </w:tcPr>
          <w:p w:rsidR="00937CC5" w:rsidRDefault="007A54EB">
            <w:pPr>
              <w:spacing w:beforeLines="40" w:before="124" w:afterLines="40" w:after="124"/>
              <w:jc w:val="center"/>
              <w:rPr>
                <w:rFonts w:ascii="华文楷体" w:hAnsi="华文楷体"/>
                <w:b/>
                <w:szCs w:val="21"/>
              </w:rPr>
            </w:pPr>
            <w:r>
              <w:rPr>
                <w:rFonts w:ascii="华文楷体" w:hAnsi="华文楷体" w:hint="eastAsia"/>
                <w:b/>
                <w:szCs w:val="21"/>
              </w:rPr>
              <w:t>详细</w:t>
            </w:r>
          </w:p>
        </w:tc>
      </w:tr>
      <w:tr w:rsidR="00937CC5">
        <w:trPr>
          <w:trHeight w:val="284"/>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外围</w:t>
            </w:r>
          </w:p>
        </w:tc>
        <w:tc>
          <w:tcPr>
            <w:tcW w:w="7393" w:type="dxa"/>
            <w:vAlign w:val="center"/>
          </w:tcPr>
          <w:p w:rsidR="00937CC5" w:rsidRDefault="007A54EB">
            <w:pPr>
              <w:spacing w:beforeLines="40" w:before="124" w:afterLines="40" w:after="124"/>
              <w:jc w:val="left"/>
              <w:rPr>
                <w:rFonts w:ascii="华文楷体" w:hAnsi="华文楷体" w:cs="Arial"/>
                <w:color w:val="333333"/>
                <w:szCs w:val="21"/>
                <w:shd w:val="clear" w:color="auto" w:fill="FFFFFF"/>
              </w:rPr>
            </w:pPr>
            <w:r>
              <w:rPr>
                <w:rFonts w:ascii="华文楷体" w:hAnsi="华文楷体" w:cs="Arial" w:hint="eastAsia"/>
                <w:color w:val="000000"/>
                <w:szCs w:val="21"/>
                <w:shd w:val="clear" w:color="auto" w:fill="FFFFFF"/>
              </w:rPr>
              <w:t>美联储预计2017年加息3</w:t>
            </w:r>
            <w:r w:rsidR="00B33C4A">
              <w:rPr>
                <w:rFonts w:ascii="华文楷体" w:hAnsi="华文楷体" w:cs="Arial" w:hint="eastAsia"/>
                <w:color w:val="000000"/>
                <w:szCs w:val="21"/>
                <w:shd w:val="clear" w:color="auto" w:fill="FFFFFF"/>
              </w:rPr>
              <w:t>次并开启缩表</w:t>
            </w:r>
            <w:r>
              <w:rPr>
                <w:rFonts w:ascii="华文楷体" w:hAnsi="华文楷体" w:cs="Arial" w:hint="eastAsia"/>
                <w:color w:val="000000"/>
                <w:szCs w:val="21"/>
                <w:shd w:val="clear" w:color="auto" w:fill="FFFFFF"/>
              </w:rPr>
              <w:t>，欧洲政治格局不稳定因素增多</w:t>
            </w:r>
            <w:r w:rsidR="00B33C4A">
              <w:rPr>
                <w:rFonts w:ascii="华文楷体" w:hAnsi="华文楷体" w:cs="Arial" w:hint="eastAsia"/>
                <w:color w:val="000000"/>
                <w:szCs w:val="21"/>
                <w:shd w:val="clear" w:color="auto" w:fill="FFFFFF"/>
              </w:rPr>
              <w:t>，欧洲央行决定2018年起削减QE</w:t>
            </w:r>
            <w:r>
              <w:rPr>
                <w:rFonts w:ascii="华文楷体" w:hAnsi="华文楷体" w:cs="Arial" w:hint="eastAsia"/>
                <w:color w:val="000000"/>
                <w:szCs w:val="21"/>
                <w:shd w:val="clear" w:color="auto" w:fill="FFFFFF"/>
              </w:rPr>
              <w:t>【谨防国外市场黑天鹅】</w:t>
            </w:r>
          </w:p>
        </w:tc>
      </w:tr>
      <w:tr w:rsidR="00937CC5">
        <w:trPr>
          <w:trHeight w:val="284"/>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金融监管</w:t>
            </w:r>
          </w:p>
        </w:tc>
        <w:tc>
          <w:tcPr>
            <w:tcW w:w="7393" w:type="dxa"/>
            <w:vAlign w:val="center"/>
          </w:tcPr>
          <w:p w:rsidR="00937CC5" w:rsidRDefault="007A54EB">
            <w:pPr>
              <w:spacing w:beforeLines="40" w:before="124" w:afterLines="40" w:after="124"/>
              <w:jc w:val="left"/>
              <w:rPr>
                <w:rFonts w:ascii="华文楷体" w:hAnsi="华文楷体" w:cs="Arial"/>
                <w:color w:val="333333"/>
                <w:szCs w:val="21"/>
                <w:shd w:val="clear" w:color="auto" w:fill="FFFFFF"/>
              </w:rPr>
            </w:pPr>
            <w:r>
              <w:rPr>
                <w:rFonts w:ascii="华文楷体" w:hAnsi="华文楷体" w:hint="eastAsia"/>
                <w:szCs w:val="21"/>
              </w:rPr>
              <w:t>金融监管持续加码【金融监管是2017年最明确且持续性长的事件，央行坚持稳健中性的货币政策，流动性将易紧难松，可能引发的供求压力和边际收紧】</w:t>
            </w:r>
          </w:p>
        </w:tc>
      </w:tr>
      <w:tr w:rsidR="00937CC5">
        <w:trPr>
          <w:trHeight w:val="284"/>
        </w:trPr>
        <w:tc>
          <w:tcPr>
            <w:tcW w:w="1135" w:type="dxa"/>
            <w:vAlign w:val="center"/>
          </w:tcPr>
          <w:p w:rsidR="00937CC5" w:rsidRDefault="007A54EB">
            <w:pPr>
              <w:spacing w:beforeLines="40" w:before="124" w:afterLines="40" w:after="124"/>
              <w:jc w:val="center"/>
              <w:rPr>
                <w:rFonts w:ascii="华文楷体" w:hAnsi="华文楷体"/>
                <w:szCs w:val="21"/>
              </w:rPr>
            </w:pPr>
            <w:r>
              <w:rPr>
                <w:rFonts w:ascii="华文楷体" w:hAnsi="华文楷体" w:hint="eastAsia"/>
                <w:szCs w:val="21"/>
              </w:rPr>
              <w:t>利率</w:t>
            </w:r>
          </w:p>
        </w:tc>
        <w:tc>
          <w:tcPr>
            <w:tcW w:w="7393" w:type="dxa"/>
            <w:vAlign w:val="center"/>
          </w:tcPr>
          <w:p w:rsidR="00937CC5" w:rsidRDefault="007A54EB">
            <w:pPr>
              <w:spacing w:beforeLines="40" w:before="124" w:afterLines="40" w:after="124"/>
              <w:jc w:val="left"/>
              <w:rPr>
                <w:rFonts w:ascii="华文楷体" w:hAnsi="华文楷体"/>
                <w:szCs w:val="21"/>
              </w:rPr>
            </w:pPr>
            <w:r>
              <w:rPr>
                <w:rFonts w:ascii="华文楷体" w:hAnsi="华文楷体" w:hint="eastAsia"/>
                <w:szCs w:val="21"/>
              </w:rPr>
              <w:t>利率的快速上行造成的资产贬值【金融去杠杆推高资金成本】</w:t>
            </w:r>
          </w:p>
        </w:tc>
      </w:tr>
    </w:tbl>
    <w:p w:rsidR="00937CC5" w:rsidRDefault="00937CC5">
      <w:pPr>
        <w:spacing w:line="360" w:lineRule="auto"/>
      </w:pPr>
    </w:p>
    <w:p w:rsidR="00937CC5" w:rsidRDefault="007A54EB">
      <w:pPr>
        <w:pStyle w:val="p17"/>
        <w:pageBreakBefore/>
        <w:jc w:val="center"/>
        <w:rPr>
          <w:rFonts w:ascii="华文楷体" w:eastAsia="华文楷体" w:hAnsi="华文楷体" w:cs="华文楷体"/>
          <w:b/>
          <w:bCs/>
          <w:color w:val="000080"/>
          <w:sz w:val="28"/>
          <w:szCs w:val="28"/>
        </w:rPr>
      </w:pPr>
      <w:r>
        <w:rPr>
          <w:rFonts w:ascii="华文楷体" w:eastAsia="华文楷体" w:hAnsi="华文楷体" w:cs="华文楷体" w:hint="eastAsia"/>
          <w:b/>
          <w:bCs/>
          <w:color w:val="000080"/>
          <w:sz w:val="28"/>
          <w:szCs w:val="28"/>
        </w:rPr>
        <w:lastRenderedPageBreak/>
        <w:t>研究所</w:t>
      </w:r>
    </w:p>
    <w:p w:rsidR="00937CC5" w:rsidRDefault="007A54EB">
      <w:pPr>
        <w:pStyle w:val="p17"/>
        <w:spacing w:line="360" w:lineRule="auto"/>
        <w:ind w:firstLineChars="200" w:firstLine="420"/>
        <w:jc w:val="left"/>
        <w:rPr>
          <w:rFonts w:ascii="华文楷体" w:eastAsia="华文楷体" w:hAnsi="华文楷体" w:cs="华文楷体"/>
        </w:rPr>
      </w:pPr>
      <w:r>
        <w:rPr>
          <w:rFonts w:ascii="华文楷体" w:eastAsia="华文楷体" w:hAnsi="华文楷体" w:cs="华文楷体" w:hint="eastAsia"/>
        </w:rPr>
        <w:t>公司研究所具有一批丰富实战经验的期货产业研究员及专业的优秀分析师，致力于为客户提供中国资本市场</w:t>
      </w:r>
      <w:r>
        <w:rPr>
          <w:rFonts w:ascii="华文楷体" w:eastAsia="华文楷体" w:hAnsi="华文楷体" w:cs="华文楷体" w:hint="eastAsia"/>
          <w:b/>
          <w:bCs/>
        </w:rPr>
        <w:t>前瞻性、可操作性</w:t>
      </w:r>
      <w:r>
        <w:rPr>
          <w:rFonts w:ascii="华文楷体" w:eastAsia="华文楷体" w:hAnsi="华文楷体" w:cs="华文楷体" w:hint="eastAsia"/>
        </w:rPr>
        <w:t>的投资方案及各类型市场的研究报告，通过对市场进行深度挖掘，提示投资机会和市场风险，完成对资本市场现象、规律的研究探索。</w:t>
      </w:r>
    </w:p>
    <w:p w:rsidR="00937CC5" w:rsidRDefault="007A54EB">
      <w:pPr>
        <w:pStyle w:val="p17"/>
        <w:spacing w:line="360" w:lineRule="auto"/>
        <w:ind w:firstLineChars="200" w:firstLine="420"/>
        <w:jc w:val="left"/>
        <w:rPr>
          <w:rFonts w:ascii="华文楷体" w:eastAsia="华文楷体" w:hAnsi="华文楷体" w:cs="华文楷体"/>
        </w:rPr>
      </w:pPr>
      <w:r>
        <w:rPr>
          <w:rFonts w:ascii="华文楷体" w:eastAsia="华文楷体" w:hAnsi="华文楷体" w:cs="华文楷体" w:hint="eastAsia"/>
        </w:rPr>
        <w:t>研究范围涉及目前所有商品期货以及金融衍生品；我们推崇</w:t>
      </w:r>
      <w:r>
        <w:rPr>
          <w:rFonts w:ascii="华文楷体" w:eastAsia="华文楷体" w:hAnsi="华文楷体" w:cs="华文楷体" w:hint="eastAsia"/>
          <w:b/>
          <w:bCs/>
        </w:rPr>
        <w:t>产业链</w:t>
      </w:r>
      <w:r>
        <w:rPr>
          <w:rFonts w:ascii="华文楷体" w:eastAsia="华文楷体" w:hAnsi="华文楷体" w:cs="华文楷体" w:hint="eastAsia"/>
        </w:rPr>
        <w:t>的研究；我们看重</w:t>
      </w:r>
      <w:r>
        <w:rPr>
          <w:rFonts w:ascii="华文楷体" w:eastAsia="华文楷体" w:hAnsi="华文楷体" w:cs="华文楷体" w:hint="eastAsia"/>
          <w:b/>
          <w:bCs/>
        </w:rPr>
        <w:t>数量分析法</w:t>
      </w:r>
      <w:r>
        <w:rPr>
          <w:rFonts w:ascii="华文楷体" w:eastAsia="华文楷体" w:hAnsi="华文楷体" w:cs="华文楷体" w:hint="eastAsia"/>
        </w:rPr>
        <w:t>；我们提倡</w:t>
      </w:r>
      <w:r>
        <w:rPr>
          <w:rFonts w:ascii="华文楷体" w:eastAsia="华文楷体" w:hAnsi="华文楷体" w:cs="华文楷体" w:hint="eastAsia"/>
          <w:b/>
          <w:bCs/>
        </w:rPr>
        <w:t>独立性</w:t>
      </w:r>
      <w:r>
        <w:rPr>
          <w:rFonts w:ascii="华文楷体" w:eastAsia="华文楷体" w:hAnsi="华文楷体" w:cs="华文楷体" w:hint="eastAsia"/>
        </w:rPr>
        <w:t>，鼓励分析师在纷繁复杂的环境下保持清醒。</w:t>
      </w:r>
    </w:p>
    <w:p w:rsidR="00937CC5" w:rsidRDefault="007A54EB">
      <w:pPr>
        <w:pStyle w:val="p17"/>
        <w:spacing w:line="360" w:lineRule="auto"/>
        <w:ind w:firstLineChars="200" w:firstLine="420"/>
        <w:jc w:val="left"/>
        <w:rPr>
          <w:rFonts w:ascii="华文楷体" w:eastAsia="华文楷体" w:hAnsi="华文楷体" w:cs="华文楷体"/>
        </w:rPr>
      </w:pPr>
      <w:r>
        <w:rPr>
          <w:rFonts w:ascii="华文楷体" w:eastAsia="华文楷体" w:hAnsi="华文楷体" w:cs="华文楷体" w:hint="eastAsia"/>
        </w:rPr>
        <w:t>我们将积极依托</w:t>
      </w:r>
      <w:r>
        <w:rPr>
          <w:rFonts w:ascii="华文楷体" w:eastAsia="华文楷体" w:hAnsi="华文楷体" w:cs="华文楷体" w:hint="eastAsia"/>
          <w:b/>
          <w:bCs/>
        </w:rPr>
        <w:t>股东单位--广州证券</w:t>
      </w:r>
      <w:r>
        <w:rPr>
          <w:rFonts w:ascii="华文楷体" w:eastAsia="华文楷体" w:hAnsi="华文楷体" w:cs="华文楷体" w:hint="eastAsia"/>
        </w:rPr>
        <w:t>在宏观经济、产业领域的高</w:t>
      </w:r>
      <w:proofErr w:type="gramStart"/>
      <w:r>
        <w:rPr>
          <w:rFonts w:ascii="华文楷体" w:eastAsia="华文楷体" w:hAnsi="华文楷体" w:cs="华文楷体" w:hint="eastAsia"/>
        </w:rPr>
        <w:t>端研究</w:t>
      </w:r>
      <w:proofErr w:type="gramEnd"/>
      <w:r>
        <w:rPr>
          <w:rFonts w:ascii="华文楷体" w:eastAsia="华文楷体" w:hAnsi="华文楷体" w:cs="华文楷体" w:hint="eastAsia"/>
        </w:rPr>
        <w:t>资源优势，以“</w:t>
      </w:r>
      <w:r>
        <w:rPr>
          <w:rFonts w:ascii="华文楷体" w:eastAsia="华文楷体" w:hAnsi="华文楷体" w:cs="华文楷体" w:hint="eastAsia"/>
          <w:b/>
          <w:bCs/>
        </w:rPr>
        <w:t>宏观、产业和行情策略分析</w:t>
      </w:r>
      <w:r>
        <w:rPr>
          <w:rFonts w:ascii="华文楷体" w:eastAsia="华文楷体" w:hAnsi="华文楷体" w:cs="华文楷体" w:hint="eastAsia"/>
        </w:rPr>
        <w:t>”为核心，大力推进市场化和标准化运作，逐步完善研究产品体系，打造具有特色品牌影响力的现代产业与金融研究部。</w:t>
      </w:r>
    </w:p>
    <w:p w:rsidR="00937CC5" w:rsidRDefault="007A54EB">
      <w:pPr>
        <w:pStyle w:val="p17"/>
        <w:spacing w:line="360" w:lineRule="auto"/>
        <w:ind w:firstLineChars="200" w:firstLine="420"/>
        <w:rPr>
          <w:rFonts w:ascii="华文楷体" w:eastAsia="华文楷体" w:hAnsi="华文楷体" w:cs="华文楷体"/>
          <w:b/>
          <w:bCs/>
        </w:rPr>
      </w:pPr>
      <w:r>
        <w:rPr>
          <w:rFonts w:ascii="华文楷体" w:eastAsia="华文楷体" w:hAnsi="华文楷体" w:cs="华文楷体" w:hint="eastAsia"/>
        </w:rPr>
        <w:t>核心理念：</w:t>
      </w:r>
      <w:r>
        <w:rPr>
          <w:rFonts w:ascii="华文楷体" w:eastAsia="华文楷体" w:hAnsi="华文楷体" w:cs="华文楷体" w:hint="eastAsia"/>
          <w:b/>
          <w:bCs/>
        </w:rPr>
        <w:t>研究创造价值，深入带来远见</w:t>
      </w:r>
    </w:p>
    <w:p w:rsidR="00937CC5" w:rsidRDefault="00937CC5">
      <w:pPr>
        <w:pStyle w:val="p17"/>
        <w:rPr>
          <w:rFonts w:ascii="宋体" w:hAnsi="宋体"/>
        </w:rPr>
      </w:pPr>
    </w:p>
    <w:p w:rsidR="00937CC5" w:rsidRDefault="00937CC5">
      <w:pPr>
        <w:pStyle w:val="p17"/>
        <w:rPr>
          <w:rFonts w:ascii="宋体" w:hAnsi="宋体"/>
        </w:rPr>
      </w:pPr>
    </w:p>
    <w:p w:rsidR="00937CC5" w:rsidRDefault="007A54EB">
      <w:pPr>
        <w:pStyle w:val="p17"/>
        <w:jc w:val="center"/>
        <w:rPr>
          <w:rFonts w:ascii="宋体" w:hAnsi="宋体"/>
          <w:b/>
          <w:bCs/>
          <w:color w:val="000080"/>
          <w:sz w:val="28"/>
          <w:szCs w:val="28"/>
        </w:rPr>
      </w:pPr>
      <w:r>
        <w:rPr>
          <w:rFonts w:ascii="宋体" w:hAnsi="宋体" w:hint="eastAsia"/>
          <w:b/>
          <w:bCs/>
          <w:color w:val="000080"/>
          <w:sz w:val="28"/>
          <w:szCs w:val="28"/>
        </w:rPr>
        <w:t>联系方式</w:t>
      </w:r>
    </w:p>
    <w:p w:rsidR="00937CC5" w:rsidRDefault="00937CC5">
      <w:pPr>
        <w:pStyle w:val="p17"/>
        <w:rPr>
          <w:rFonts w:ascii="宋体" w:hAnsi="宋体"/>
          <w:sz w:val="24"/>
          <w:szCs w:val="24"/>
        </w:rPr>
      </w:pPr>
    </w:p>
    <w:p w:rsidR="00937CC5" w:rsidRDefault="007A54EB">
      <w:pPr>
        <w:pStyle w:val="p17"/>
        <w:rPr>
          <w:rFonts w:ascii="宋体" w:hAnsi="宋体"/>
        </w:rPr>
      </w:pPr>
      <w:r>
        <w:rPr>
          <w:rFonts w:ascii="宋体" w:hAnsi="宋体" w:hint="eastAsia"/>
        </w:rPr>
        <w:t xml:space="preserve"> </w:t>
      </w:r>
      <w:r>
        <w:rPr>
          <w:rFonts w:ascii="宋体" w:hAnsi="宋体"/>
          <w:noProof/>
          <w:sz w:val="18"/>
          <w:szCs w:val="18"/>
        </w:rPr>
        <w:drawing>
          <wp:inline distT="0" distB="0" distL="0" distR="0">
            <wp:extent cx="809625" cy="723900"/>
            <wp:effectExtent l="0" t="0" r="0" b="0"/>
            <wp:docPr id="1050" name="图片 26"/>
            <wp:cNvGraphicFramePr/>
            <a:graphic xmlns:a="http://schemas.openxmlformats.org/drawingml/2006/main">
              <a:graphicData uri="http://schemas.openxmlformats.org/drawingml/2006/picture">
                <pic:pic xmlns:pic="http://schemas.openxmlformats.org/drawingml/2006/picture">
                  <pic:nvPicPr>
                    <pic:cNvPr id="1050" name="图片 26"/>
                    <pic:cNvPicPr/>
                  </pic:nvPicPr>
                  <pic:blipFill>
                    <a:blip r:embed="rId30" cstate="print"/>
                    <a:srcRect/>
                    <a:stretch>
                      <a:fillRect/>
                    </a:stretch>
                  </pic:blipFill>
                  <pic:spPr>
                    <a:xfrm>
                      <a:off x="0" y="0"/>
                      <a:ext cx="809625" cy="723900"/>
                    </a:xfrm>
                    <a:prstGeom prst="rect">
                      <a:avLst/>
                    </a:prstGeom>
                    <a:ln>
                      <a:noFill/>
                    </a:ln>
                  </pic:spPr>
                </pic:pic>
              </a:graphicData>
            </a:graphic>
          </wp:inline>
        </w:drawing>
      </w:r>
      <w:r>
        <w:rPr>
          <w:rFonts w:ascii="宋体" w:hAnsi="宋体" w:hint="eastAsia"/>
        </w:rPr>
        <w:t xml:space="preserve">         </w:t>
      </w:r>
      <w:r>
        <w:rPr>
          <w:rFonts w:ascii="宋体" w:hAnsi="宋体"/>
          <w:noProof/>
        </w:rPr>
        <w:drawing>
          <wp:inline distT="0" distB="0" distL="0" distR="0">
            <wp:extent cx="733425" cy="733425"/>
            <wp:effectExtent l="0" t="0" r="0" b="0"/>
            <wp:docPr id="1051" name="图片 27"/>
            <wp:cNvGraphicFramePr/>
            <a:graphic xmlns:a="http://schemas.openxmlformats.org/drawingml/2006/main">
              <a:graphicData uri="http://schemas.openxmlformats.org/drawingml/2006/picture">
                <pic:pic xmlns:pic="http://schemas.openxmlformats.org/drawingml/2006/picture">
                  <pic:nvPicPr>
                    <pic:cNvPr id="1051" name="图片 27"/>
                    <pic:cNvPicPr/>
                  </pic:nvPicPr>
                  <pic:blipFill>
                    <a:blip r:embed="rId31" cstate="print"/>
                    <a:srcRect/>
                    <a:stretch>
                      <a:fillRect/>
                    </a:stretch>
                  </pic:blipFill>
                  <pic:spPr>
                    <a:xfrm>
                      <a:off x="0" y="0"/>
                      <a:ext cx="733425" cy="733425"/>
                    </a:xfrm>
                    <a:prstGeom prst="rect">
                      <a:avLst/>
                    </a:prstGeom>
                    <a:ln>
                      <a:noFill/>
                    </a:ln>
                  </pic:spPr>
                </pic:pic>
              </a:graphicData>
            </a:graphic>
          </wp:inline>
        </w:drawing>
      </w:r>
      <w:r>
        <w:rPr>
          <w:rFonts w:ascii="宋体" w:hAnsi="宋体" w:hint="eastAsia"/>
        </w:rPr>
        <w:t xml:space="preserve">         </w:t>
      </w:r>
      <w:r>
        <w:rPr>
          <w:rFonts w:ascii="宋体" w:hAnsi="宋体"/>
          <w:noProof/>
        </w:rPr>
        <w:drawing>
          <wp:inline distT="0" distB="0" distL="0" distR="0">
            <wp:extent cx="838200" cy="771525"/>
            <wp:effectExtent l="0" t="0" r="0" b="0"/>
            <wp:docPr id="1052" name="图片 28"/>
            <wp:cNvGraphicFramePr/>
            <a:graphic xmlns:a="http://schemas.openxmlformats.org/drawingml/2006/main">
              <a:graphicData uri="http://schemas.openxmlformats.org/drawingml/2006/picture">
                <pic:pic xmlns:pic="http://schemas.openxmlformats.org/drawingml/2006/picture">
                  <pic:nvPicPr>
                    <pic:cNvPr id="1052" name="图片 28"/>
                    <pic:cNvPicPr/>
                  </pic:nvPicPr>
                  <pic:blipFill>
                    <a:blip r:embed="rId32" cstate="print"/>
                    <a:srcRect/>
                    <a:stretch>
                      <a:fillRect/>
                    </a:stretch>
                  </pic:blipFill>
                  <pic:spPr>
                    <a:xfrm>
                      <a:off x="0" y="0"/>
                      <a:ext cx="838200" cy="771525"/>
                    </a:xfrm>
                    <a:prstGeom prst="rect">
                      <a:avLst/>
                    </a:prstGeom>
                    <a:ln>
                      <a:noFill/>
                    </a:ln>
                  </pic:spPr>
                </pic:pic>
              </a:graphicData>
            </a:graphic>
          </wp:inline>
        </w:drawing>
      </w:r>
      <w:r>
        <w:rPr>
          <w:rFonts w:ascii="宋体" w:hAnsi="宋体" w:hint="eastAsia"/>
        </w:rPr>
        <w:t xml:space="preserve">         </w:t>
      </w:r>
      <w:r>
        <w:rPr>
          <w:rFonts w:ascii="宋体" w:hAnsi="宋体"/>
          <w:noProof/>
        </w:rPr>
        <w:drawing>
          <wp:inline distT="0" distB="0" distL="0" distR="0">
            <wp:extent cx="838200" cy="752475"/>
            <wp:effectExtent l="0" t="0" r="0" b="0"/>
            <wp:docPr id="1053" name="图片 29"/>
            <wp:cNvGraphicFramePr/>
            <a:graphic xmlns:a="http://schemas.openxmlformats.org/drawingml/2006/main">
              <a:graphicData uri="http://schemas.openxmlformats.org/drawingml/2006/picture">
                <pic:pic xmlns:pic="http://schemas.openxmlformats.org/drawingml/2006/picture">
                  <pic:nvPicPr>
                    <pic:cNvPr id="1053" name="图片 29"/>
                    <pic:cNvPicPr/>
                  </pic:nvPicPr>
                  <pic:blipFill>
                    <a:blip r:embed="rId33" cstate="print"/>
                    <a:srcRect/>
                    <a:stretch>
                      <a:fillRect/>
                    </a:stretch>
                  </pic:blipFill>
                  <pic:spPr>
                    <a:xfrm>
                      <a:off x="0" y="0"/>
                      <a:ext cx="838200" cy="752475"/>
                    </a:xfrm>
                    <a:prstGeom prst="rect">
                      <a:avLst/>
                    </a:prstGeom>
                    <a:ln>
                      <a:noFill/>
                    </a:ln>
                  </pic:spPr>
                </pic:pic>
              </a:graphicData>
            </a:graphic>
          </wp:inline>
        </w:drawing>
      </w:r>
    </w:p>
    <w:p w:rsidR="00937CC5" w:rsidRDefault="007A54EB">
      <w:pPr>
        <w:pStyle w:val="p17"/>
        <w:rPr>
          <w:rFonts w:ascii="华文楷体" w:eastAsia="华文楷体" w:hAnsi="华文楷体" w:cs="华文楷体"/>
          <w:sz w:val="18"/>
          <w:szCs w:val="18"/>
        </w:rPr>
      </w:pPr>
      <w:r>
        <w:rPr>
          <w:rFonts w:ascii="宋体" w:hAnsi="宋体" w:hint="eastAsia"/>
          <w:sz w:val="18"/>
          <w:szCs w:val="18"/>
        </w:rPr>
        <w:t xml:space="preserve">    </w:t>
      </w:r>
      <w:r>
        <w:rPr>
          <w:rFonts w:ascii="华文楷体" w:eastAsia="华文楷体" w:hAnsi="华文楷体" w:cs="华文楷体" w:hint="eastAsia"/>
          <w:sz w:val="18"/>
          <w:szCs w:val="18"/>
        </w:rPr>
        <w:t>金融研究               农产品研究                金属研究                 能源化工</w:t>
      </w:r>
    </w:p>
    <w:p w:rsidR="00937CC5" w:rsidRDefault="007A54EB">
      <w:pPr>
        <w:pStyle w:val="p17"/>
        <w:spacing w:line="360" w:lineRule="auto"/>
        <w:rPr>
          <w:rFonts w:ascii="宋体" w:hAnsi="宋体"/>
          <w:b/>
          <w:bCs/>
          <w:sz w:val="18"/>
          <w:szCs w:val="18"/>
        </w:rPr>
      </w:pPr>
      <w:r>
        <w:rPr>
          <w:rFonts w:ascii="宋体" w:hAnsi="宋体" w:hint="eastAsia"/>
          <w:sz w:val="18"/>
          <w:szCs w:val="18"/>
        </w:rPr>
        <w:t xml:space="preserve">   020-22139858           020-22139813            020-22139817             020-22139824</w:t>
      </w:r>
    </w:p>
    <w:p w:rsidR="00937CC5" w:rsidRDefault="00937CC5">
      <w:pPr>
        <w:pStyle w:val="p17"/>
        <w:rPr>
          <w:rFonts w:ascii="华文楷体" w:eastAsia="华文楷体" w:hAnsi="华文楷体" w:cs="华文楷体"/>
          <w:b/>
          <w:bCs/>
          <w:sz w:val="18"/>
          <w:szCs w:val="18"/>
        </w:rPr>
      </w:pPr>
    </w:p>
    <w:p w:rsidR="00937CC5" w:rsidRDefault="007A54EB">
      <w:pPr>
        <w:pStyle w:val="p17"/>
        <w:rPr>
          <w:rFonts w:ascii="华文楷体" w:eastAsia="华文楷体" w:hAnsi="华文楷体" w:cs="华文楷体"/>
          <w:b/>
          <w:bCs/>
        </w:rPr>
      </w:pPr>
      <w:r>
        <w:rPr>
          <w:rFonts w:ascii="华文楷体" w:eastAsia="华文楷体" w:hAnsi="华文楷体" w:cs="华文楷体" w:hint="eastAsia"/>
          <w:bCs/>
        </w:rPr>
        <w:t xml:space="preserve">地址：广东省广州市天河区珠江西路5号广州国际金融中心主塔写字楼第1007-1012房   </w:t>
      </w:r>
    </w:p>
    <w:p w:rsidR="00937CC5" w:rsidRDefault="00937CC5">
      <w:pPr>
        <w:pStyle w:val="p17"/>
        <w:rPr>
          <w:rFonts w:ascii="华文楷体" w:eastAsia="华文楷体" w:hAnsi="华文楷体" w:cs="华文楷体"/>
          <w:b/>
          <w:bCs/>
        </w:rPr>
      </w:pPr>
    </w:p>
    <w:p w:rsidR="00937CC5" w:rsidRDefault="007A54EB">
      <w:pPr>
        <w:pStyle w:val="p17"/>
        <w:spacing w:line="360" w:lineRule="auto"/>
        <w:jc w:val="center"/>
        <w:rPr>
          <w:rFonts w:ascii="华文楷体" w:eastAsia="华文楷体" w:hAnsi="华文楷体" w:cs="华文楷体"/>
          <w:b/>
          <w:bCs/>
          <w:color w:val="800000"/>
        </w:rPr>
      </w:pPr>
      <w:r>
        <w:rPr>
          <w:rFonts w:ascii="华文楷体" w:eastAsia="华文楷体" w:hAnsi="华文楷体" w:cs="华文楷体" w:hint="eastAsia"/>
          <w:b/>
          <w:bCs/>
          <w:color w:val="800000"/>
        </w:rPr>
        <w:t>免责声明</w:t>
      </w:r>
    </w:p>
    <w:p w:rsidR="00937CC5" w:rsidRDefault="007A54EB">
      <w:pPr>
        <w:pStyle w:val="p17"/>
        <w:spacing w:line="360" w:lineRule="auto"/>
        <w:ind w:firstLineChars="200" w:firstLine="420"/>
        <w:rPr>
          <w:rFonts w:ascii="华文楷体" w:eastAsia="华文楷体" w:hAnsi="华文楷体" w:cs="华文楷体"/>
          <w:color w:val="808080"/>
        </w:rPr>
      </w:pPr>
      <w:r>
        <w:rPr>
          <w:rFonts w:ascii="华文楷体" w:eastAsia="华文楷体" w:hAnsi="华文楷体" w:cs="华文楷体" w:hint="eastAsia"/>
          <w:color w:val="800000"/>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sectPr w:rsidR="00937CC5">
      <w:headerReference w:type="default" r:id="rId34"/>
      <w:footerReference w:type="even" r:id="rId35"/>
      <w:footerReference w:type="default" r:id="rId3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F4" w:rsidRDefault="006436F4">
      <w:r>
        <w:separator/>
      </w:r>
    </w:p>
  </w:endnote>
  <w:endnote w:type="continuationSeparator" w:id="0">
    <w:p w:rsidR="006436F4" w:rsidRDefault="0064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Gill Sans">
    <w:altName w:val="Times New Roman"/>
    <w:charset w:val="00"/>
    <w:family w:val="auto"/>
    <w:pitch w:val="default"/>
    <w:sig w:usb0="00000000" w:usb1="00000000" w:usb2="00000000" w:usb3="00000000" w:csb0="00040001" w:csb1="00000000"/>
  </w:font>
  <w:font w:name="ヒラギノ角ゴ Pro W3">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EB" w:rsidRDefault="007A54EB">
    <w:pPr>
      <w:pStyle w:val="a8"/>
      <w:framePr w:wrap="around" w:vAnchor="text" w:hAnchor="margin" w:xAlign="center" w:y="1"/>
      <w:rPr>
        <w:rStyle w:val="ad"/>
      </w:rPr>
    </w:pPr>
    <w:r>
      <w:fldChar w:fldCharType="begin"/>
    </w:r>
    <w:r>
      <w:rPr>
        <w:rStyle w:val="ad"/>
      </w:rPr>
      <w:instrText xml:space="preserve">PAGE  </w:instrText>
    </w:r>
    <w:r>
      <w:fldChar w:fldCharType="end"/>
    </w:r>
  </w:p>
  <w:p w:rsidR="007A54EB" w:rsidRDefault="007A54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EB" w:rsidRDefault="007A54E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F4" w:rsidRDefault="006436F4">
      <w:r>
        <w:separator/>
      </w:r>
    </w:p>
  </w:footnote>
  <w:footnote w:type="continuationSeparator" w:id="0">
    <w:p w:rsidR="006436F4" w:rsidRDefault="00643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4EB" w:rsidRDefault="007A54EB">
    <w:pPr>
      <w:pStyle w:val="a9"/>
      <w:pBdr>
        <w:top w:val="none" w:sz="0" w:space="0" w:color="auto"/>
        <w:left w:val="none" w:sz="0" w:space="0" w:color="auto"/>
        <w:bottom w:val="none" w:sz="0" w:space="0" w:color="auto"/>
        <w:right w:val="none" w:sz="0" w:space="0" w:color="auto"/>
      </w:pBdr>
      <w:jc w:val="left"/>
      <w:rPr>
        <w:rFonts w:ascii="新宋体" w:eastAsia="新宋体" w:hAnsi="新宋体"/>
        <w:bCs/>
        <w:sz w:val="24"/>
        <w:szCs w:val="24"/>
      </w:rPr>
    </w:pPr>
    <w:r>
      <w:rPr>
        <w:noProof/>
      </w:rPr>
      <w:drawing>
        <wp:anchor distT="0" distB="0" distL="0" distR="0" simplePos="0" relativeHeight="1024" behindDoc="0" locked="0" layoutInCell="1" allowOverlap="1">
          <wp:simplePos x="0" y="0"/>
          <wp:positionH relativeFrom="column">
            <wp:posOffset>-685800</wp:posOffset>
          </wp:positionH>
          <wp:positionV relativeFrom="paragraph">
            <wp:posOffset>-300355</wp:posOffset>
          </wp:positionV>
          <wp:extent cx="2055495" cy="732155"/>
          <wp:effectExtent l="0" t="0" r="0" b="0"/>
          <wp:wrapNone/>
          <wp:docPr id="4097" name="图片 1"/>
          <wp:cNvGraphicFramePr/>
          <a:graphic xmlns:a="http://schemas.openxmlformats.org/drawingml/2006/main">
            <a:graphicData uri="http://schemas.openxmlformats.org/drawingml/2006/picture">
              <pic:pic xmlns:pic="http://schemas.openxmlformats.org/drawingml/2006/picture">
                <pic:nvPicPr>
                  <pic:cNvPr id="4097" name="图片 1"/>
                  <pic:cNvPicPr/>
                </pic:nvPicPr>
                <pic:blipFill>
                  <a:blip r:embed="rId1" cstate="print"/>
                  <a:srcRect/>
                  <a:stretch>
                    <a:fillRect/>
                  </a:stretch>
                </pic:blipFill>
                <pic:spPr>
                  <a:xfrm>
                    <a:off x="0" y="0"/>
                    <a:ext cx="2055495" cy="732155"/>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993E9"/>
    <w:multiLevelType w:val="singleLevel"/>
    <w:tmpl w:val="59E993E9"/>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184"/>
    <w:rsid w:val="000229E2"/>
    <w:rsid w:val="00047B46"/>
    <w:rsid w:val="00050406"/>
    <w:rsid w:val="000A52DE"/>
    <w:rsid w:val="000C043C"/>
    <w:rsid w:val="00106510"/>
    <w:rsid w:val="00107D3B"/>
    <w:rsid w:val="00166879"/>
    <w:rsid w:val="00173117"/>
    <w:rsid w:val="001767FC"/>
    <w:rsid w:val="00183BDE"/>
    <w:rsid w:val="00201460"/>
    <w:rsid w:val="002377F5"/>
    <w:rsid w:val="002E0613"/>
    <w:rsid w:val="00417035"/>
    <w:rsid w:val="0042032E"/>
    <w:rsid w:val="0043477E"/>
    <w:rsid w:val="00546156"/>
    <w:rsid w:val="005647E2"/>
    <w:rsid w:val="005E2688"/>
    <w:rsid w:val="006436F4"/>
    <w:rsid w:val="00656F08"/>
    <w:rsid w:val="006875AF"/>
    <w:rsid w:val="00691F30"/>
    <w:rsid w:val="006A1184"/>
    <w:rsid w:val="006F787D"/>
    <w:rsid w:val="00714B09"/>
    <w:rsid w:val="00731651"/>
    <w:rsid w:val="00754F9B"/>
    <w:rsid w:val="00767786"/>
    <w:rsid w:val="0078244F"/>
    <w:rsid w:val="007A54EB"/>
    <w:rsid w:val="007E074E"/>
    <w:rsid w:val="007E3D53"/>
    <w:rsid w:val="008A1E93"/>
    <w:rsid w:val="0092794D"/>
    <w:rsid w:val="00937CC5"/>
    <w:rsid w:val="00981DCE"/>
    <w:rsid w:val="0098355A"/>
    <w:rsid w:val="00984C6B"/>
    <w:rsid w:val="009B2DEB"/>
    <w:rsid w:val="009C0E2D"/>
    <w:rsid w:val="009F4E64"/>
    <w:rsid w:val="00A728BE"/>
    <w:rsid w:val="00B33C4A"/>
    <w:rsid w:val="00BA388D"/>
    <w:rsid w:val="00BD66FD"/>
    <w:rsid w:val="00CE4957"/>
    <w:rsid w:val="00D43B3E"/>
    <w:rsid w:val="00DB6DCF"/>
    <w:rsid w:val="00DB7174"/>
    <w:rsid w:val="00E34F54"/>
    <w:rsid w:val="00E5159E"/>
    <w:rsid w:val="00E56432"/>
    <w:rsid w:val="00F31790"/>
    <w:rsid w:val="00F52E1D"/>
    <w:rsid w:val="01CB17A0"/>
    <w:rsid w:val="03543BED"/>
    <w:rsid w:val="03581E01"/>
    <w:rsid w:val="03DA4E6B"/>
    <w:rsid w:val="045E559C"/>
    <w:rsid w:val="062C489A"/>
    <w:rsid w:val="067045E8"/>
    <w:rsid w:val="0C721BF2"/>
    <w:rsid w:val="0C8B20D1"/>
    <w:rsid w:val="0D8A24E9"/>
    <w:rsid w:val="10340C32"/>
    <w:rsid w:val="127C2166"/>
    <w:rsid w:val="160172BB"/>
    <w:rsid w:val="1620663F"/>
    <w:rsid w:val="1AB63414"/>
    <w:rsid w:val="1B9A3317"/>
    <w:rsid w:val="1BE5370F"/>
    <w:rsid w:val="1BE74E07"/>
    <w:rsid w:val="1C040A77"/>
    <w:rsid w:val="1DBA7988"/>
    <w:rsid w:val="228A35F7"/>
    <w:rsid w:val="2441272D"/>
    <w:rsid w:val="265267D2"/>
    <w:rsid w:val="30E062D4"/>
    <w:rsid w:val="30EA0CDE"/>
    <w:rsid w:val="314C27BA"/>
    <w:rsid w:val="32EF2E71"/>
    <w:rsid w:val="351D5E1D"/>
    <w:rsid w:val="369E37A6"/>
    <w:rsid w:val="376C5A04"/>
    <w:rsid w:val="37EC2B4F"/>
    <w:rsid w:val="3BB114EF"/>
    <w:rsid w:val="3BB53AC3"/>
    <w:rsid w:val="40554523"/>
    <w:rsid w:val="40F8393C"/>
    <w:rsid w:val="43C26E71"/>
    <w:rsid w:val="44627233"/>
    <w:rsid w:val="4A083B46"/>
    <w:rsid w:val="4CA76CF5"/>
    <w:rsid w:val="4D5B21D1"/>
    <w:rsid w:val="4F1F21A1"/>
    <w:rsid w:val="53D4142F"/>
    <w:rsid w:val="542F373A"/>
    <w:rsid w:val="55DA54FE"/>
    <w:rsid w:val="57C723BB"/>
    <w:rsid w:val="5A1C1543"/>
    <w:rsid w:val="5F993B6D"/>
    <w:rsid w:val="5FB86B14"/>
    <w:rsid w:val="5FEE63D7"/>
    <w:rsid w:val="641D7FC7"/>
    <w:rsid w:val="65AB7FB8"/>
    <w:rsid w:val="66746943"/>
    <w:rsid w:val="674E3669"/>
    <w:rsid w:val="6ABE3CDC"/>
    <w:rsid w:val="6C485C2C"/>
    <w:rsid w:val="6CE967FE"/>
    <w:rsid w:val="6E4314D1"/>
    <w:rsid w:val="702553CB"/>
    <w:rsid w:val="70356DCE"/>
    <w:rsid w:val="7927455B"/>
    <w:rsid w:val="7C8A0B2C"/>
    <w:rsid w:val="7DC320FC"/>
    <w:rsid w:val="7E2432C4"/>
    <w:rsid w:val="7E984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503F141"/>
  <w15:docId w15:val="{408241C8-A41C-4CF8-9511-5114414C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华文楷体"/>
      <w:kern w:val="2"/>
      <w:sz w:val="21"/>
    </w:rPr>
  </w:style>
  <w:style w:type="paragraph" w:styleId="1">
    <w:name w:val="heading 1"/>
    <w:basedOn w:val="a"/>
    <w:next w:val="a"/>
    <w:link w:val="10"/>
    <w:qFormat/>
    <w:pPr>
      <w:keepNext/>
      <w:keepLines/>
      <w:spacing w:before="100" w:after="90" w:line="576" w:lineRule="auto"/>
      <w:outlineLvl w:val="0"/>
    </w:pPr>
    <w:rPr>
      <w:rFonts w:eastAsia="黑体"/>
      <w:kern w:val="44"/>
      <w:sz w:val="32"/>
    </w:rPr>
  </w:style>
  <w:style w:type="paragraph" w:styleId="2">
    <w:name w:val="heading 2"/>
    <w:basedOn w:val="a"/>
    <w:next w:val="a"/>
    <w:link w:val="20"/>
    <w:qFormat/>
    <w:pPr>
      <w:keepNext/>
      <w:keepLines/>
      <w:spacing w:line="413" w:lineRule="auto"/>
      <w:outlineLvl w:val="1"/>
    </w:pPr>
    <w:rPr>
      <w:rFonts w:ascii="Arial" w:eastAsia="黑体" w:hAnsi="Arial"/>
      <w:sz w:val="28"/>
    </w:rPr>
  </w:style>
  <w:style w:type="paragraph" w:styleId="3">
    <w:name w:val="heading 3"/>
    <w:basedOn w:val="a"/>
    <w:next w:val="a"/>
    <w:qFormat/>
    <w:pPr>
      <w:keepNext/>
      <w:keepLines/>
      <w:spacing w:before="260" w:after="260"/>
      <w:outlineLvl w:val="2"/>
    </w:pPr>
    <w:rPr>
      <w:rFonts w:eastAsia="黑体"/>
      <w:bCs/>
      <w:sz w:val="24"/>
      <w:szCs w:val="32"/>
    </w:rPr>
  </w:style>
  <w:style w:type="paragraph" w:styleId="4">
    <w:name w:val="heading 4"/>
    <w:basedOn w:val="a"/>
    <w:next w:val="a"/>
    <w:qFormat/>
    <w:pPr>
      <w:keepNext/>
      <w:keepLines/>
      <w:tabs>
        <w:tab w:val="left" w:pos="1680"/>
      </w:tabs>
      <w:spacing w:line="372" w:lineRule="auto"/>
      <w:ind w:firstLine="402"/>
      <w:outlineLvl w:val="3"/>
    </w:pPr>
    <w:rPr>
      <w:rFonts w:ascii="Arial" w:eastAsia="新宋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libri Light" w:eastAsia="黑体" w:hAnsi="Calibri Light"/>
      <w:sz w:val="20"/>
    </w:rPr>
  </w:style>
  <w:style w:type="paragraph" w:styleId="30">
    <w:name w:val="toc 3"/>
    <w:basedOn w:val="a"/>
    <w:next w:val="a"/>
    <w:uiPriority w:val="39"/>
    <w:qFormat/>
    <w:pPr>
      <w:tabs>
        <w:tab w:val="right" w:leader="dot" w:pos="8100"/>
      </w:tabs>
      <w:ind w:firstLineChars="85" w:firstLine="178"/>
    </w:pPr>
    <w:rPr>
      <w:rFonts w:eastAsia="宋体"/>
    </w:rPr>
  </w:style>
  <w:style w:type="paragraph" w:styleId="a4">
    <w:name w:val="Date"/>
    <w:basedOn w:val="a"/>
    <w:next w:val="a"/>
    <w:link w:val="a5"/>
    <w:qFormat/>
    <w:pPr>
      <w:ind w:leftChars="2500" w:left="100"/>
    </w:pPr>
    <w:rPr>
      <w:rFonts w:eastAsia="宋体"/>
    </w:rPr>
  </w:style>
  <w:style w:type="paragraph" w:styleId="a6">
    <w:name w:val="Balloon Text"/>
    <w:basedOn w:val="a"/>
    <w:link w:val="a7"/>
    <w:qFormat/>
    <w:rPr>
      <w:rFonts w:eastAsia="宋体"/>
      <w:sz w:val="18"/>
      <w:szCs w:val="18"/>
    </w:rPr>
  </w:style>
  <w:style w:type="paragraph" w:styleId="a8">
    <w:name w:val="footer"/>
    <w:basedOn w:val="a"/>
    <w:qFormat/>
    <w:pPr>
      <w:tabs>
        <w:tab w:val="center" w:pos="4153"/>
        <w:tab w:val="right" w:pos="8306"/>
      </w:tabs>
      <w:snapToGrid w:val="0"/>
      <w:jc w:val="left"/>
    </w:pPr>
    <w:rPr>
      <w:rFonts w:eastAsia="宋体"/>
      <w:sz w:val="18"/>
    </w:rPr>
  </w:style>
  <w:style w:type="paragraph" w:styleId="a9">
    <w:name w:val="header"/>
    <w:basedOn w:val="a"/>
    <w:qFormat/>
    <w:pPr>
      <w:pBdr>
        <w:top w:val="none" w:sz="0" w:space="1" w:color="auto"/>
        <w:left w:val="none" w:sz="0" w:space="4" w:color="auto"/>
        <w:bottom w:val="single" w:sz="4" w:space="1" w:color="auto"/>
        <w:right w:val="none" w:sz="0" w:space="4" w:color="auto"/>
      </w:pBdr>
      <w:tabs>
        <w:tab w:val="center" w:pos="4153"/>
        <w:tab w:val="right" w:pos="8306"/>
      </w:tabs>
      <w:snapToGrid w:val="0"/>
    </w:pPr>
    <w:rPr>
      <w:rFonts w:eastAsia="宋体"/>
      <w:sz w:val="18"/>
    </w:rPr>
  </w:style>
  <w:style w:type="paragraph" w:styleId="11">
    <w:name w:val="toc 1"/>
    <w:basedOn w:val="a"/>
    <w:next w:val="a"/>
    <w:uiPriority w:val="39"/>
    <w:qFormat/>
    <w:rPr>
      <w:rFonts w:eastAsia="宋体"/>
    </w:rPr>
  </w:style>
  <w:style w:type="paragraph" w:styleId="aa">
    <w:name w:val="table of figures"/>
    <w:basedOn w:val="a"/>
    <w:next w:val="a"/>
    <w:uiPriority w:val="99"/>
    <w:qFormat/>
    <w:pPr>
      <w:ind w:leftChars="200" w:left="200" w:hangingChars="200" w:hanging="200"/>
    </w:pPr>
    <w:rPr>
      <w:rFonts w:eastAsia="宋体"/>
    </w:rPr>
  </w:style>
  <w:style w:type="paragraph" w:styleId="21">
    <w:name w:val="toc 2"/>
    <w:basedOn w:val="a"/>
    <w:next w:val="a"/>
    <w:uiPriority w:val="39"/>
    <w:qFormat/>
    <w:pPr>
      <w:ind w:leftChars="200" w:left="420"/>
    </w:pPr>
    <w:rPr>
      <w:rFonts w:eastAsia="宋体"/>
    </w:rPr>
  </w:style>
  <w:style w:type="paragraph" w:styleId="ab">
    <w:name w:val="Normal (Web)"/>
    <w:basedOn w:val="a"/>
    <w:qFormat/>
    <w:pPr>
      <w:widowControl/>
      <w:jc w:val="left"/>
    </w:pPr>
    <w:rPr>
      <w:rFonts w:ascii="宋体" w:eastAsia="宋体" w:hAnsi="宋体" w:cs="宋体"/>
      <w:kern w:val="0"/>
      <w:sz w:val="24"/>
      <w:szCs w:val="24"/>
    </w:rPr>
  </w:style>
  <w:style w:type="character" w:styleId="ac">
    <w:name w:val="Strong"/>
    <w:qFormat/>
    <w:rPr>
      <w:rFonts w:ascii="Times New Roman" w:eastAsia="宋体" w:hAnsi="Times New Roman" w:cs="Times New Roman"/>
      <w:b/>
      <w:bCs/>
    </w:rPr>
  </w:style>
  <w:style w:type="character" w:styleId="ad">
    <w:name w:val="page number"/>
    <w:qFormat/>
    <w:rPr>
      <w:rFonts w:ascii="Times New Roman" w:eastAsia="宋体" w:hAnsi="Times New Roman" w:cs="Times New Roman"/>
    </w:rPr>
  </w:style>
  <w:style w:type="character" w:styleId="ae">
    <w:name w:val="FollowedHyperlink"/>
    <w:qFormat/>
    <w:rPr>
      <w:rFonts w:ascii="Times New Roman" w:eastAsia="宋体" w:hAnsi="Times New Roman" w:cs="Times New Roman"/>
      <w:color w:val="000000"/>
      <w:u w:val="none"/>
    </w:rPr>
  </w:style>
  <w:style w:type="character" w:styleId="af">
    <w:name w:val="Emphasis"/>
    <w:qFormat/>
    <w:rPr>
      <w:rFonts w:ascii="Times New Roman" w:eastAsia="宋体" w:hAnsi="Times New Roman" w:cs="Times New Roman"/>
    </w:rPr>
  </w:style>
  <w:style w:type="character" w:styleId="HTML">
    <w:name w:val="HTML Definition"/>
    <w:qFormat/>
    <w:rPr>
      <w:rFonts w:ascii="Times New Roman" w:eastAsia="宋体" w:hAnsi="Times New Roman" w:cs="Times New Roman"/>
    </w:rPr>
  </w:style>
  <w:style w:type="character" w:styleId="HTML0">
    <w:name w:val="HTML Variable"/>
    <w:qFormat/>
    <w:rPr>
      <w:rFonts w:ascii="Times New Roman" w:eastAsia="宋体" w:hAnsi="Times New Roman" w:cs="Times New Roman"/>
    </w:rPr>
  </w:style>
  <w:style w:type="character" w:styleId="af0">
    <w:name w:val="Hyperlink"/>
    <w:uiPriority w:val="99"/>
    <w:qFormat/>
    <w:rPr>
      <w:rFonts w:ascii="Times New Roman" w:eastAsia="宋体" w:hAnsi="Times New Roman" w:cs="Times New Roman"/>
      <w:color w:val="000000"/>
      <w:u w:val="none"/>
    </w:rPr>
  </w:style>
  <w:style w:type="character" w:styleId="HTML1">
    <w:name w:val="HTML Code"/>
    <w:qFormat/>
    <w:rPr>
      <w:rFonts w:ascii="Courier New" w:eastAsia="宋体" w:hAnsi="Courier New" w:cs="Times New Roman"/>
      <w:sz w:val="20"/>
    </w:rPr>
  </w:style>
  <w:style w:type="character" w:styleId="HTML2">
    <w:name w:val="HTML Cite"/>
    <w:qFormat/>
    <w:rPr>
      <w:rFonts w:ascii="Times New Roman" w:eastAsia="宋体" w:hAnsi="Times New Roman" w:cs="Times New Roman"/>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黑体" w:hAnsi="Times New Roman" w:cs="Times New Roman"/>
      <w:kern w:val="44"/>
      <w:sz w:val="32"/>
    </w:rPr>
  </w:style>
  <w:style w:type="character" w:customStyle="1" w:styleId="more">
    <w:name w:val="more"/>
    <w:qFormat/>
    <w:rPr>
      <w:rFonts w:ascii="Times New Roman" w:eastAsia="宋体" w:hAnsi="Times New Roman" w:cs="Times New Roman"/>
      <w:color w:val="666666"/>
      <w:sz w:val="18"/>
      <w:szCs w:val="18"/>
    </w:rPr>
  </w:style>
  <w:style w:type="character" w:customStyle="1" w:styleId="a5">
    <w:name w:val="日期 字符"/>
    <w:link w:val="a4"/>
    <w:qFormat/>
    <w:rPr>
      <w:rFonts w:ascii="Times New Roman" w:eastAsia="宋体" w:hAnsi="Times New Roman" w:cs="Times New Roman"/>
      <w:kern w:val="2"/>
      <w:sz w:val="21"/>
    </w:rPr>
  </w:style>
  <w:style w:type="character" w:customStyle="1" w:styleId="20">
    <w:name w:val="标题 2 字符"/>
    <w:link w:val="2"/>
    <w:qFormat/>
    <w:rPr>
      <w:rFonts w:ascii="Arial" w:eastAsia="黑体" w:hAnsi="Arial" w:cs="Times New Roman"/>
      <w:kern w:val="2"/>
      <w:sz w:val="28"/>
    </w:rPr>
  </w:style>
  <w:style w:type="character" w:customStyle="1" w:styleId="moduletitlemenuitemsel">
    <w:name w:val="moduletitle_menuitemsel"/>
    <w:qFormat/>
    <w:rPr>
      <w:rFonts w:ascii="Tahoma" w:eastAsia="Tahoma" w:hAnsi="Tahoma" w:cs="Tahoma"/>
      <w:b/>
      <w:color w:val="000000"/>
      <w:sz w:val="18"/>
      <w:szCs w:val="18"/>
    </w:rPr>
  </w:style>
  <w:style w:type="character" w:customStyle="1" w:styleId="bg02">
    <w:name w:val="bg02"/>
    <w:basedOn w:val="a0"/>
    <w:qFormat/>
    <w:rPr>
      <w:rFonts w:ascii="Times New Roman" w:eastAsia="宋体" w:hAnsi="Times New Roman" w:cs="Times New Roman"/>
    </w:rPr>
  </w:style>
  <w:style w:type="character" w:customStyle="1" w:styleId="12">
    <w:name w:val="已访问的超链接1"/>
    <w:qFormat/>
    <w:rPr>
      <w:rFonts w:ascii="Times New Roman" w:eastAsia="宋体" w:hAnsi="Times New Roman" w:cs="Times New Roman"/>
      <w:color w:val="800080"/>
      <w:u w:val="single"/>
    </w:rPr>
  </w:style>
  <w:style w:type="character" w:customStyle="1" w:styleId="bg01">
    <w:name w:val="bg01"/>
    <w:basedOn w:val="a0"/>
    <w:qFormat/>
    <w:rPr>
      <w:rFonts w:ascii="Times New Roman" w:eastAsia="宋体" w:hAnsi="Times New Roman" w:cs="Times New Roman"/>
    </w:rPr>
  </w:style>
  <w:style w:type="character" w:customStyle="1" w:styleId="language">
    <w:name w:val="language"/>
    <w:qFormat/>
    <w:rPr>
      <w:rFonts w:ascii="Times New Roman" w:eastAsia="宋体" w:hAnsi="Times New Roman" w:cs="Times New Roman"/>
    </w:rPr>
  </w:style>
  <w:style w:type="character" w:customStyle="1" w:styleId="mark">
    <w:name w:val="mark"/>
    <w:qFormat/>
    <w:rPr>
      <w:rFonts w:ascii="Times New Roman" w:eastAsia="宋体" w:hAnsi="Times New Roman" w:cs="Times New Roman"/>
      <w:color w:val="C6240E"/>
      <w:sz w:val="23"/>
      <w:szCs w:val="23"/>
    </w:rPr>
  </w:style>
  <w:style w:type="character" w:customStyle="1" w:styleId="a7">
    <w:name w:val="批注框文本 字符"/>
    <w:link w:val="a6"/>
    <w:qFormat/>
    <w:rPr>
      <w:rFonts w:ascii="Times New Roman" w:eastAsia="宋体" w:hAnsi="Times New Roman" w:cs="Times New Roman"/>
      <w:kern w:val="2"/>
      <w:sz w:val="18"/>
      <w:szCs w:val="18"/>
    </w:rPr>
  </w:style>
  <w:style w:type="character" w:customStyle="1" w:styleId="s1">
    <w:name w:val="s1"/>
    <w:qFormat/>
    <w:rPr>
      <w:rFonts w:ascii="Times New Roman" w:eastAsia="宋体" w:hAnsi="Times New Roman" w:cs="Times New Roman"/>
    </w:rPr>
  </w:style>
  <w:style w:type="character" w:customStyle="1" w:styleId="language2">
    <w:name w:val="language2"/>
    <w:qFormat/>
    <w:rPr>
      <w:rFonts w:ascii="Times New Roman" w:eastAsia="宋体" w:hAnsi="Times New Roman" w:cs="Times New Roman"/>
    </w:rPr>
  </w:style>
  <w:style w:type="character" w:customStyle="1" w:styleId="tabg">
    <w:name w:val="tabg"/>
    <w:qFormat/>
    <w:rPr>
      <w:rFonts w:ascii="微软雅黑" w:eastAsia="微软雅黑" w:hAnsi="微软雅黑" w:cs="微软雅黑"/>
      <w:color w:val="FFFFFF"/>
      <w:sz w:val="27"/>
      <w:szCs w:val="27"/>
    </w:rPr>
  </w:style>
  <w:style w:type="character" w:customStyle="1" w:styleId="13">
    <w:name w:val="页码1"/>
    <w:qFormat/>
    <w:rPr>
      <w:rFonts w:ascii="Times New Roman" w:eastAsia="宋体" w:hAnsi="Times New Roman" w:cs="Times New Roman"/>
    </w:rPr>
  </w:style>
  <w:style w:type="paragraph" w:customStyle="1" w:styleId="14">
    <w:name w:val="页眉1"/>
    <w:qFormat/>
    <w:pPr>
      <w:tabs>
        <w:tab w:val="right" w:pos="9792"/>
      </w:tabs>
      <w:ind w:firstLine="180"/>
      <w:outlineLvl w:val="0"/>
    </w:pPr>
    <w:rPr>
      <w:rFonts w:ascii="Gill Sans" w:eastAsia="ヒラギノ角ゴ Pro W3" w:hAnsi="Gill Sans"/>
      <w:caps/>
      <w:color w:val="FFFFFF"/>
      <w:sz w:val="18"/>
    </w:rPr>
  </w:style>
  <w:style w:type="paragraph" w:customStyle="1" w:styleId="15">
    <w:name w:val="列出段落1"/>
    <w:basedOn w:val="a"/>
    <w:qFormat/>
    <w:pPr>
      <w:ind w:firstLineChars="200" w:firstLine="420"/>
    </w:pPr>
    <w:rPr>
      <w:rFonts w:ascii="Calibri" w:eastAsia="宋体" w:hAnsi="Calibri"/>
      <w:szCs w:val="22"/>
    </w:rPr>
  </w:style>
  <w:style w:type="paragraph" w:customStyle="1" w:styleId="TOC1">
    <w:name w:val="TOC 标题1"/>
    <w:basedOn w:val="1"/>
    <w:next w:val="a"/>
    <w:qFormat/>
    <w:pPr>
      <w:widowControl/>
      <w:spacing w:before="480" w:after="0" w:line="276" w:lineRule="auto"/>
      <w:jc w:val="left"/>
      <w:outlineLvl w:val="9"/>
    </w:pPr>
    <w:rPr>
      <w:rFonts w:ascii="Calibri Light" w:eastAsia="宋体" w:hAnsi="Calibri Light"/>
      <w:bCs/>
      <w:color w:val="2E75B5"/>
      <w:kern w:val="0"/>
      <w:sz w:val="28"/>
      <w:szCs w:val="28"/>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6">
    <w:name w:val="修订1"/>
    <w:qFormat/>
    <w:rPr>
      <w:kern w:val="2"/>
      <w:sz w:val="21"/>
    </w:rPr>
  </w:style>
  <w:style w:type="paragraph" w:customStyle="1" w:styleId="p15">
    <w:name w:val="p15"/>
    <w:basedOn w:val="a"/>
    <w:qFormat/>
    <w:pPr>
      <w:widowControl/>
    </w:pPr>
    <w:rPr>
      <w:rFonts w:eastAsia="宋体"/>
      <w:kern w:val="0"/>
      <w:szCs w:val="21"/>
    </w:rPr>
  </w:style>
  <w:style w:type="paragraph" w:customStyle="1" w:styleId="p17">
    <w:name w:val="p17"/>
    <w:basedOn w:val="a"/>
    <w:qFormat/>
    <w:pPr>
      <w:widowControl/>
    </w:pPr>
    <w:rPr>
      <w:rFonts w:eastAsia="宋体"/>
      <w:kern w:val="0"/>
      <w:szCs w:val="21"/>
    </w:rPr>
  </w:style>
  <w:style w:type="paragraph" w:customStyle="1" w:styleId="p1">
    <w:name w:val="p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22">
    <w:name w:val="列出段落2"/>
    <w:basedOn w:val="a"/>
    <w:qFormat/>
    <w:pPr>
      <w:ind w:firstLineChars="200" w:firstLine="420"/>
    </w:pPr>
    <w:rPr>
      <w:rFonts w:eastAsia="宋体"/>
      <w:szCs w:val="24"/>
    </w:rPr>
  </w:style>
  <w:style w:type="table" w:customStyle="1" w:styleId="17">
    <w:name w:val="网格型1"/>
    <w:basedOn w:val="a1"/>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未处理的提及1"/>
    <w:basedOn w:val="a0"/>
    <w:uiPriority w:val="99"/>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994C4-D581-46E3-BE85-DCF63A01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2073</Words>
  <Characters>11818</Characters>
  <Application>Microsoft Office Word</Application>
  <DocSecurity>0</DocSecurity>
  <Lines>98</Lines>
  <Paragraphs>27</Paragraphs>
  <ScaleCrop>false</ScaleCrop>
  <Company>微软中国</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gzqh</dc:creator>
  <cp:lastModifiedBy>qian ye</cp:lastModifiedBy>
  <cp:revision>23</cp:revision>
  <cp:lastPrinted>2016-09-10T02:15:00Z</cp:lastPrinted>
  <dcterms:created xsi:type="dcterms:W3CDTF">2017-10-28T10:46:00Z</dcterms:created>
  <dcterms:modified xsi:type="dcterms:W3CDTF">2017-10-30T01:28:00Z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